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7047230" cy="8698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698865"/>
                    </a:xfrm>
                    <a:prstGeom prst="rect">
                      <a:avLst/>
                    </a:prstGeom>
                    <a:noFill/>
                  </pic:spPr>
                </pic:pic>
              </a:graphicData>
            </a:graphic>
          </wp:anchor>
        </w:drawing>
      </w:r>
    </w:p>
    <w:p>
      <w:pPr>
        <w:spacing w:after="0" w:line="1208" w:lineRule="exact"/>
        <w:rPr>
          <w:sz w:val="24"/>
          <w:szCs w:val="24"/>
          <w:color w:val="auto"/>
        </w:rPr>
      </w:pPr>
    </w:p>
    <w:p>
      <w:pPr>
        <w:sectPr>
          <w:pgSz w:w="11900" w:h="16874"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Kuzoyan Vahe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SERVICETITAN,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N. BRAND BLVD., SUITE 100</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ServiceTitan,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TTAN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273"/>
        <w:spacing w:after="0"/>
        <w:rPr>
          <w:sz w:val="20"/>
          <w:szCs w:val="20"/>
          <w:color w:val="auto"/>
        </w:rPr>
      </w:pPr>
      <w:r>
        <w:rPr>
          <w:rFonts w:ascii="Times New Roman" w:cs="Times New Roman" w:eastAsia="Times New Roman" w:hAnsi="Times New Roman"/>
          <w:sz w:val="17"/>
          <w:szCs w:val="17"/>
          <w:color w:val="0000FF"/>
        </w:rPr>
        <w:t>President</w:t>
      </w:r>
    </w:p>
    <w:p>
      <w:pPr>
        <w:spacing w:after="0" w:line="403" w:lineRule="exact"/>
        <w:rPr>
          <w:sz w:val="24"/>
          <w:szCs w:val="24"/>
          <w:color w:val="auto"/>
        </w:rPr>
      </w:pPr>
    </w:p>
    <w:p>
      <w:pPr>
        <w:sectPr>
          <w:pgSz w:w="11900" w:h="16874" w:orient="portrait"/>
          <w:cols w:equalWidth="0" w:num="3">
            <w:col w:w="3180" w:space="720"/>
            <w:col w:w="3107" w:space="720"/>
            <w:col w:w="3353"/>
          </w:cols>
          <w:pgMar w:left="460" w:top="216" w:right="359" w:bottom="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GLENDALE</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91203</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74" w:orient="portrait"/>
          <w:cols w:equalWidth="0" w:num="2">
            <w:col w:w="3740" w:space="16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8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7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jc w:val="center"/>
              <w:ind w:left="645"/>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center"/>
              <w:ind w:left="645"/>
              <w:spacing w:after="0"/>
              <w:rPr>
                <w:sz w:val="20"/>
                <w:szCs w:val="20"/>
                <w:color w:val="auto"/>
              </w:rPr>
            </w:pPr>
            <w:r>
              <w:rPr>
                <w:rFonts w:ascii="Times New Roman" w:cs="Times New Roman" w:eastAsia="Times New Roman" w:hAnsi="Times New Roman"/>
                <w:sz w:val="17"/>
                <w:szCs w:val="17"/>
                <w:color w:val="0000FF"/>
                <w:w w:val="95"/>
              </w:rPr>
              <w:t>06/17/2026</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385"/>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3,208</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3,209.25</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center"/>
              <w:ind w:left="645"/>
              <w:spacing w:after="0"/>
              <w:rPr>
                <w:sz w:val="20"/>
                <w:szCs w:val="20"/>
                <w:color w:val="auto"/>
              </w:rPr>
            </w:pPr>
            <w:r>
              <w:rPr>
                <w:rFonts w:ascii="Times New Roman" w:cs="Times New Roman" w:eastAsia="Times New Roman" w:hAnsi="Times New Roman"/>
                <w:sz w:val="17"/>
                <w:szCs w:val="17"/>
                <w:color w:val="0000FF"/>
                <w:w w:val="95"/>
              </w:rPr>
              <w:t>06/17/2026</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38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w w:val="98"/>
              </w:rPr>
              <w:t>646.69</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66.19</w:t>
            </w:r>
            <w:r>
              <w:rPr>
                <w:rFonts w:ascii="Times New Roman" w:cs="Times New Roman" w:eastAsia="Times New Roman" w:hAnsi="Times New Roman"/>
                <w:sz w:val="21"/>
                <w:szCs w:val="21"/>
                <w:color w:val="008000"/>
                <w:w w:val="90"/>
                <w:vertAlign w:val="superscript"/>
              </w:rPr>
              <w:t>(3)</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2,562.56</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center"/>
              <w:ind w:left="645"/>
              <w:spacing w:after="0"/>
              <w:rPr>
                <w:sz w:val="20"/>
                <w:szCs w:val="20"/>
                <w:color w:val="auto"/>
              </w:rPr>
            </w:pPr>
            <w:r>
              <w:rPr>
                <w:rFonts w:ascii="Times New Roman" w:cs="Times New Roman" w:eastAsia="Times New Roman" w:hAnsi="Times New Roman"/>
                <w:sz w:val="17"/>
                <w:szCs w:val="17"/>
                <w:color w:val="0000FF"/>
                <w:w w:val="95"/>
              </w:rPr>
              <w:t>06/17/2026</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38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w w:val="98"/>
              </w:rPr>
              <w:t>874.21</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66.19</w:t>
            </w:r>
            <w:r>
              <w:rPr>
                <w:rFonts w:ascii="Times New Roman" w:cs="Times New Roman" w:eastAsia="Times New Roman" w:hAnsi="Times New Roman"/>
                <w:sz w:val="21"/>
                <w:szCs w:val="21"/>
                <w:color w:val="008000"/>
                <w:w w:val="90"/>
                <w:vertAlign w:val="superscript"/>
              </w:rPr>
              <w:t>(4)</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1,688.35</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center"/>
              <w:ind w:left="645"/>
              <w:spacing w:after="0"/>
              <w:rPr>
                <w:sz w:val="20"/>
                <w:szCs w:val="20"/>
                <w:color w:val="auto"/>
              </w:rPr>
            </w:pPr>
            <w:r>
              <w:rPr>
                <w:rFonts w:ascii="Times New Roman" w:cs="Times New Roman" w:eastAsia="Times New Roman" w:hAnsi="Times New Roman"/>
                <w:sz w:val="17"/>
                <w:szCs w:val="17"/>
                <w:color w:val="0000FF"/>
                <w:w w:val="95"/>
              </w:rPr>
              <w:t>06/17/2026</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38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w w:val="98"/>
              </w:rPr>
              <w:t>977.33</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66.19</w:t>
            </w:r>
            <w:r>
              <w:rPr>
                <w:rFonts w:ascii="Times New Roman" w:cs="Times New Roman" w:eastAsia="Times New Roman" w:hAnsi="Times New Roman"/>
                <w:sz w:val="21"/>
                <w:szCs w:val="21"/>
                <w:color w:val="008000"/>
                <w:w w:val="90"/>
                <w:vertAlign w:val="superscript"/>
              </w:rPr>
              <w:t>(5)</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711.02</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center"/>
              <w:ind w:left="645"/>
              <w:spacing w:after="0"/>
              <w:rPr>
                <w:sz w:val="20"/>
                <w:szCs w:val="20"/>
                <w:color w:val="auto"/>
              </w:rPr>
            </w:pPr>
            <w:r>
              <w:rPr>
                <w:rFonts w:ascii="Times New Roman" w:cs="Times New Roman" w:eastAsia="Times New Roman" w:hAnsi="Times New Roman"/>
                <w:sz w:val="17"/>
                <w:szCs w:val="17"/>
                <w:color w:val="0000FF"/>
                <w:w w:val="95"/>
              </w:rPr>
              <w:t>06/17/2026</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38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513.5</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66.19</w:t>
            </w:r>
            <w:r>
              <w:rPr>
                <w:rFonts w:ascii="Times New Roman" w:cs="Times New Roman" w:eastAsia="Times New Roman" w:hAnsi="Times New Roman"/>
                <w:sz w:val="21"/>
                <w:szCs w:val="21"/>
                <w:color w:val="008000"/>
                <w:w w:val="90"/>
                <w:vertAlign w:val="superscript"/>
              </w:rPr>
              <w:t>(6)</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197.52</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center"/>
              <w:ind w:left="645"/>
              <w:spacing w:after="0"/>
              <w:rPr>
                <w:sz w:val="20"/>
                <w:szCs w:val="20"/>
                <w:color w:val="auto"/>
              </w:rPr>
            </w:pPr>
            <w:r>
              <w:rPr>
                <w:rFonts w:ascii="Times New Roman" w:cs="Times New Roman" w:eastAsia="Times New Roman" w:hAnsi="Times New Roman"/>
                <w:sz w:val="17"/>
                <w:szCs w:val="17"/>
                <w:color w:val="0000FF"/>
                <w:w w:val="95"/>
              </w:rPr>
              <w:t>06/17/2026</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38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w w:val="98"/>
              </w:rPr>
              <w:t>163.35</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66.19</w:t>
            </w:r>
            <w:r>
              <w:rPr>
                <w:rFonts w:ascii="Times New Roman" w:cs="Times New Roman" w:eastAsia="Times New Roman" w:hAnsi="Times New Roman"/>
                <w:sz w:val="21"/>
                <w:szCs w:val="21"/>
                <w:color w:val="008000"/>
                <w:w w:val="90"/>
                <w:vertAlign w:val="superscript"/>
              </w:rPr>
              <w:t>(7)</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34.17</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tcPr>
          <w:p>
            <w:pPr>
              <w:jc w:val="center"/>
              <w:ind w:left="645"/>
              <w:spacing w:after="0"/>
              <w:rPr>
                <w:sz w:val="20"/>
                <w:szCs w:val="20"/>
                <w:color w:val="auto"/>
              </w:rPr>
            </w:pPr>
            <w:r>
              <w:rPr>
                <w:rFonts w:ascii="Times New Roman" w:cs="Times New Roman" w:eastAsia="Times New Roman" w:hAnsi="Times New Roman"/>
                <w:sz w:val="17"/>
                <w:szCs w:val="17"/>
                <w:color w:val="0000FF"/>
                <w:w w:val="95"/>
              </w:rPr>
              <w:t>06/17/2026</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385"/>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32.92</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66.19</w:t>
            </w:r>
            <w:r>
              <w:rPr>
                <w:rFonts w:ascii="Times New Roman" w:cs="Times New Roman" w:eastAsia="Times New Roman" w:hAnsi="Times New Roman"/>
                <w:sz w:val="21"/>
                <w:szCs w:val="21"/>
                <w:color w:val="008000"/>
                <w:w w:val="90"/>
                <w:vertAlign w:val="superscript"/>
              </w:rPr>
              <w:t>(8)</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1.25</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8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(9)</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C</w:t>
            </w: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3,208</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06/17/2026</w:t>
            </w: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3,208</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3,381,726</w:t>
            </w: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84"/>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(9)</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267,716</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 RA</w:t>
            </w: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267,716</w:t>
            </w: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1"/>
              </w:rPr>
              <w:t>I</w:t>
            </w:r>
          </w:p>
        </w:tc>
        <w:tc>
          <w:tcPr>
            <w:tcW w:w="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2024</w:t>
            </w: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GRAT</w:t>
            </w: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(9)</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241,660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 RA</w:t>
            </w: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241,660</w:t>
            </w: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1"/>
              </w:rPr>
              <w:t>I</w:t>
            </w:r>
          </w:p>
        </w:tc>
        <w:tc>
          <w:tcPr>
            <w:tcW w:w="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2025</w:t>
            </w: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GRAT</w:t>
            </w: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(9)</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103,365</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 RA</w:t>
            </w: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103,365</w:t>
            </w: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1"/>
              </w:rPr>
              <w:t>I</w:t>
            </w:r>
          </w:p>
        </w:tc>
        <w:tc>
          <w:tcPr>
            <w:tcW w:w="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2025-2</w:t>
            </w: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GRAT</w:t>
            </w: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 RA</w:t>
            </w: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(9)</w:t>
            </w: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20" w:type="dxa"/>
            <w:vAlign w:val="bottom"/>
            <w:vMerge w:val="continue"/>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113,263</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Irrevocable</w:t>
            </w: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113,263</w:t>
            </w:r>
          </w:p>
        </w:tc>
        <w:tc>
          <w:tcPr>
            <w:tcW w:w="7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1"/>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Nonexempt</w:t>
            </w: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(9)</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1"/>
              </w:rPr>
              <w:t>3</w:t>
            </w: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1"/>
              </w:rPr>
              <w:t>I</w:t>
            </w:r>
          </w:p>
        </w:tc>
        <w:tc>
          <w:tcPr>
            <w:tcW w:w="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By spouse</w:t>
            </w: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 the K-A</w:t>
            </w: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(9)</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5,503,365</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Family</w:t>
            </w: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5,503,365</w:t>
            </w: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1"/>
              </w:rPr>
              <w:t>I</w:t>
            </w:r>
          </w:p>
        </w:tc>
        <w:tc>
          <w:tcPr>
            <w:tcW w:w="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Trust dated</w:t>
            </w: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December</w:t>
            </w: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6, 2021</w:t>
            </w: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(9)</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267,716</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 VK</w:t>
            </w: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267,716</w:t>
            </w: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1"/>
              </w:rPr>
              <w:t>I</w:t>
            </w:r>
          </w:p>
        </w:tc>
        <w:tc>
          <w:tcPr>
            <w:tcW w:w="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2024</w:t>
            </w: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GRAT</w:t>
            </w:r>
          </w:p>
        </w:tc>
        <w:tc>
          <w:tcPr>
            <w:tcW w:w="0" w:type="dxa"/>
            <w:vAlign w:val="bottom"/>
          </w:tcPr>
          <w:p>
            <w:pPr>
              <w:spacing w:after="0"/>
              <w:rPr>
                <w:sz w:val="1"/>
                <w:szCs w:val="1"/>
                <w:color w:val="auto"/>
              </w:rPr>
            </w:pPr>
          </w:p>
        </w:tc>
      </w:tr>
      <w:tr>
        <w:trPr>
          <w:trHeight w:val="38"/>
        </w:trPr>
        <w:tc>
          <w:tcPr>
            <w:tcW w:w="68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74"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2692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2692400"/>
                    </a:xfrm>
                    <a:prstGeom prst="rect">
                      <a:avLst/>
                    </a:prstGeom>
                    <a:noFill/>
                  </pic:spPr>
                </pic:pic>
              </a:graphicData>
            </a:graphic>
          </wp:anchor>
        </w:drawing>
        <w:t>Table II - Derivative Securities Acquired, Disposed of, or Beneficially Owned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(9)</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241,660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 VK</w:t>
            </w: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241,660</w:t>
            </w:r>
          </w:p>
        </w:tc>
        <w:tc>
          <w:tcPr>
            <w:tcW w:w="72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2025</w:t>
            </w: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GRAT</w:t>
            </w: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(9)</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103,365</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 VK</w:t>
            </w: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103,365</w:t>
            </w:r>
          </w:p>
        </w:tc>
        <w:tc>
          <w:tcPr>
            <w:tcW w:w="72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72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2025-2</w:t>
            </w: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GRAT</w:t>
            </w: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 VK</w:t>
            </w: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(9)</w:t>
            </w: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620" w:type="dxa"/>
            <w:vAlign w:val="bottom"/>
            <w:vMerge w:val="continue"/>
          </w:tcPr>
          <w:p>
            <w:pPr>
              <w:spacing w:after="0"/>
              <w:rPr>
                <w:sz w:val="5"/>
                <w:szCs w:val="5"/>
                <w:color w:val="auto"/>
              </w:rPr>
            </w:pPr>
          </w:p>
        </w:tc>
        <w:tc>
          <w:tcPr>
            <w:tcW w:w="78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113,263</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Irrevocable</w:t>
            </w: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2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7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280"/>
              <w:spacing w:after="0" w:line="141" w:lineRule="exact"/>
              <w:rPr>
                <w:sz w:val="20"/>
                <w:szCs w:val="20"/>
                <w:color w:val="auto"/>
              </w:rPr>
            </w:pPr>
            <w:r>
              <w:rPr>
                <w:rFonts w:ascii="Times New Roman" w:cs="Times New Roman" w:eastAsia="Times New Roman" w:hAnsi="Times New Roman"/>
                <w:sz w:val="13"/>
                <w:szCs w:val="13"/>
                <w:color w:val="0000FF"/>
              </w:rPr>
              <w:t>113,263</w:t>
            </w:r>
          </w:p>
        </w:tc>
        <w:tc>
          <w:tcPr>
            <w:tcW w:w="72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Nonexempt</w:t>
            </w:r>
          </w:p>
        </w:tc>
        <w:tc>
          <w:tcPr>
            <w:tcW w:w="0" w:type="dxa"/>
            <w:vAlign w:val="bottom"/>
          </w:tcPr>
          <w:p>
            <w:pPr>
              <w:spacing w:after="0"/>
              <w:rPr>
                <w:sz w:val="1"/>
                <w:szCs w:val="1"/>
                <w:color w:val="auto"/>
              </w:rPr>
            </w:pPr>
          </w:p>
        </w:tc>
      </w:tr>
      <w:tr>
        <w:trPr>
          <w:trHeight w:val="76"/>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Trust</w:t>
            </w: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conversion of Class B Common Stock into Class A Common Stock held of record by the Reporting Person.</w:t>
      </w:r>
    </w:p>
    <w:p>
      <w:pPr>
        <w:spacing w:after="0" w:line="41" w:lineRule="exact"/>
        <w:rPr>
          <w:rFonts w:ascii="Times New Roman" w:cs="Times New Roman" w:eastAsia="Times New Roman" w:hAnsi="Times New Roman"/>
          <w:sz w:val="13"/>
          <w:szCs w:val="13"/>
          <w:color w:val="008000"/>
        </w:rPr>
      </w:pPr>
    </w:p>
    <w:p>
      <w:pPr>
        <w:ind w:left="20" w:right="160"/>
        <w:spacing w:after="0" w:line="250"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to satisfy the Reporting Person's tax withholding obligation in connection with the vesting of restricted stock units. These sales are mandated as part of the Issuer's election under its equity incentive plans to require the satisfaction of tax withholding obligations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ind w:left="20" w:right="240"/>
        <w:spacing w:after="0" w:line="238"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$64.10 to $65.09.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20" w:right="240"/>
        <w:spacing w:after="0" w:line="238"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$65.10 to $66.09.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20" w:right="240"/>
        <w:spacing w:after="0" w:line="238"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$66.10 to $67.09.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20" w:right="240"/>
        <w:spacing w:after="0" w:line="238"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$67.10 to $68.09.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20" w:right="240"/>
        <w:spacing w:after="0" w:line="238"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$68.10 to $69.09.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20" w:right="240"/>
        <w:spacing w:after="0" w:line="238"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$69.10 to $69.50.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20" w:right="180"/>
        <w:spacing w:after="0" w:line="238"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Class B common stock is convertible into an equal number of shares of Class A common stock at any time, at the holder's election. Each share of Class B Common Stock will convert automatically into one share of Class A Common Stock upon any transfer, whether or not for value, except for certain permitted transfers, or upon the occurrence of certain specified events, in each case as set forth in the Issuer's Amended and Restated Certificate of Incorporation.</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5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Travis Shrout,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660"/>
        <w:spacing w:after="0" w:line="332" w:lineRule="auto"/>
        <w:tabs>
          <w:tab w:leader="none" w:pos="15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40"/>
          </w:cols>
          <w:pgMar w:left="480" w:top="190" w:right="37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SECTION 16 AND FORM 144</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February 20, 2026</w:t>
      </w:r>
    </w:p>
    <w:p>
      <w:pPr>
        <w:spacing w:after="0" w:line="190" w:lineRule="exact"/>
        <w:rPr>
          <w:sz w:val="20"/>
          <w:szCs w:val="20"/>
          <w:color w:val="auto"/>
        </w:rPr>
      </w:pPr>
    </w:p>
    <w:p>
      <w:pPr>
        <w:ind w:right="2139"/>
        <w:spacing w:after="0" w:line="255" w:lineRule="auto"/>
        <w:rPr>
          <w:sz w:val="20"/>
          <w:szCs w:val="20"/>
          <w:color w:val="auto"/>
        </w:rPr>
      </w:pPr>
      <w:r>
        <w:rPr>
          <w:rFonts w:ascii="Courier New" w:cs="Courier New" w:eastAsia="Courier New" w:hAnsi="Courier New"/>
          <w:sz w:val="16"/>
          <w:szCs w:val="16"/>
          <w:color w:val="auto"/>
        </w:rPr>
        <w:t>With respect to holdings of and transactions in securities issued by ServiceTitan,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 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 and Notices of Proposed Sale of Securities Pursuant to Rule 144 (?Form 144?), in accordance with the requirements of Rule 144 under the Securities Act of 1933, as amended (the ?Securities Act?); and 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w:t>
      </w:r>
    </w:p>
    <w:p>
      <w:pPr>
        <w:spacing w:after="0" w:line="6" w:lineRule="exact"/>
        <w:rPr>
          <w:sz w:val="20"/>
          <w:szCs w:val="20"/>
          <w:color w:val="auto"/>
        </w:rPr>
      </w:pPr>
    </w:p>
    <w:p>
      <w:pPr>
        <w:ind w:right="2039"/>
        <w:spacing w:after="0" w:line="254" w:lineRule="auto"/>
        <w:rPr>
          <w:sz w:val="20"/>
          <w:szCs w:val="20"/>
          <w:color w:val="auto"/>
        </w:rPr>
      </w:pPr>
      <w:r>
        <w:rPr>
          <w:rFonts w:ascii="Courier New" w:cs="Courier New" w:eastAsia="Courier New" w:hAnsi="Courier New"/>
          <w:sz w:val="16"/>
          <w:szCs w:val="16"/>
          <w:color w:val="auto"/>
        </w:rPr>
        <w:t>authority.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 This Power of Attorney shall remain in full force and effect until the undersigned is no longer required to file any Schedule 13D,Schedule 13G, Form 3, Form 4, Form 5, and Form 144 with respect to the undersigned?s holdings of and transactions in securities issued by the Company, unless earlier revoked by the undersigned in a signed writing delivered to the foregoing attorneys-in-fact. [Signature page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00" w:type="dxa"/>
            <w:vAlign w:val="bottom"/>
          </w:tcPr>
          <w:p>
            <w:pPr>
              <w:spacing w:after="0"/>
              <w:rPr>
                <w:sz w:val="20"/>
                <w:szCs w:val="20"/>
                <w:color w:val="auto"/>
              </w:rPr>
            </w:pPr>
            <w:r>
              <w:rPr>
                <w:rFonts w:ascii="Courier New" w:cs="Courier New" w:eastAsia="Courier New" w:hAnsi="Courier New"/>
                <w:sz w:val="17"/>
                <w:szCs w:val="17"/>
                <w:color w:val="auto"/>
              </w:rPr>
              <w:t>follows]</w:t>
            </w:r>
          </w:p>
        </w:tc>
        <w:tc>
          <w:tcPr>
            <w:tcW w:w="2720" w:type="dxa"/>
            <w:vAlign w:val="bottom"/>
          </w:tcPr>
          <w:p>
            <w:pPr>
              <w:ind w:left="400"/>
              <w:spacing w:after="0"/>
              <w:rPr>
                <w:sz w:val="20"/>
                <w:szCs w:val="20"/>
                <w:color w:val="auto"/>
              </w:rPr>
            </w:pPr>
            <w:r>
              <w:rPr>
                <w:rFonts w:ascii="Courier New" w:cs="Courier New" w:eastAsia="Courier New" w:hAnsi="Courier New"/>
                <w:sz w:val="17"/>
                <w:szCs w:val="17"/>
                <w:color w:val="auto"/>
                <w:w w:val="98"/>
              </w:rPr>
              <w:t>IN WITNESS WHEREOF, the</w:t>
            </w:r>
          </w:p>
        </w:tc>
        <w:tc>
          <w:tcPr>
            <w:tcW w:w="454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7"/>
              </w:rPr>
              <w:t>undersigned has caused this Power of Attorney</w:t>
            </w:r>
          </w:p>
        </w:tc>
      </w:tr>
      <w:tr>
        <w:trPr>
          <w:trHeight w:val="191"/>
        </w:trPr>
        <w:tc>
          <w:tcPr>
            <w:tcW w:w="392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98"/>
              </w:rPr>
              <w:t>to be executed as of the date first set</w:t>
            </w:r>
          </w:p>
        </w:tc>
        <w:tc>
          <w:tcPr>
            <w:tcW w:w="220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w w:val="98"/>
              </w:rPr>
              <w:t>forth above. /s/ Vahe</w:t>
            </w:r>
          </w:p>
        </w:tc>
        <w:tc>
          <w:tcPr>
            <w:tcW w:w="23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Kuzoyan Vahe</w:t>
            </w:r>
          </w:p>
        </w:tc>
      </w:tr>
      <w:tr>
        <w:trPr>
          <w:trHeight w:val="191"/>
        </w:trPr>
        <w:tc>
          <w:tcPr>
            <w:tcW w:w="612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w w:val="98"/>
              </w:rPr>
              <w:t>Kuzoyan Schedule A INDIVIDUALS APPOINTED AS ATTORNEY-IN-FACT,</w:t>
            </w:r>
          </w:p>
        </w:tc>
        <w:tc>
          <w:tcPr>
            <w:tcW w:w="234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WITH FULL POWER</w:t>
            </w:r>
          </w:p>
        </w:tc>
      </w:tr>
      <w:tr>
        <w:trPr>
          <w:trHeight w:val="221"/>
        </w:trPr>
        <w:tc>
          <w:tcPr>
            <w:tcW w:w="3920" w:type="dxa"/>
            <w:vAlign w:val="bottom"/>
            <w:gridSpan w:val="2"/>
          </w:tcPr>
          <w:p>
            <w:pPr>
              <w:spacing w:after="0"/>
              <w:rPr>
                <w:sz w:val="20"/>
                <w:szCs w:val="20"/>
                <w:color w:val="auto"/>
              </w:rPr>
            </w:pPr>
            <w:r>
              <w:rPr>
                <w:rFonts w:ascii="Courier New" w:cs="Courier New" w:eastAsia="Courier New" w:hAnsi="Courier New"/>
                <w:sz w:val="17"/>
                <w:szCs w:val="17"/>
                <w:color w:val="auto"/>
              </w:rPr>
              <w:t>OF SUBSTITUTION AND RESUBSTITUTION 1.</w:t>
            </w:r>
          </w:p>
        </w:tc>
        <w:tc>
          <w:tcPr>
            <w:tcW w:w="45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Dave Sherry, Chief Financial Officer</w:t>
            </w:r>
          </w:p>
        </w:tc>
      </w:tr>
    </w:tbl>
    <w:p>
      <w:pPr>
        <w:ind w:left="800" w:hanging="798"/>
        <w:spacing w:after="0"/>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Michele O?Connor, Chief Accounting Officer 3.   Priscilla Vuong Famero,</w:t>
      </w:r>
    </w:p>
    <w:p>
      <w:pPr>
        <w:spacing w:after="0" w:line="354" w:lineRule="exact"/>
        <w:rPr>
          <w:sz w:val="20"/>
          <w:szCs w:val="20"/>
          <w:color w:val="auto"/>
        </w:rPr>
      </w:pPr>
    </w:p>
    <w:p>
      <w:pPr>
        <w:ind w:right="1539"/>
        <w:spacing w:after="0" w:line="274" w:lineRule="auto"/>
        <w:rPr>
          <w:sz w:val="20"/>
          <w:szCs w:val="20"/>
          <w:color w:val="auto"/>
        </w:rPr>
      </w:pPr>
      <w:r>
        <w:rPr>
          <w:rFonts w:ascii="Courier New" w:cs="Courier New" w:eastAsia="Courier New" w:hAnsi="Courier New"/>
          <w:sz w:val="17"/>
          <w:szCs w:val="17"/>
          <w:color w:val="auto"/>
        </w:rPr>
        <w:t>Director, Technical Accounting and External Reporting 4. Olive Huang, Chief Legal Officer 5. Travis Shrout, Deputy General Counsel 6. Paige Smith, Director, Corporate Legal 7. Mark Baer, Stock Administration Manager 8. Chris Trombetta, Chief People Officer</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08757" TargetMode="External"/><Relationship Id="rId14" Type="http://schemas.openxmlformats.org/officeDocument/2006/relationships/hyperlink" Target="http://www.sec.gov/cgi-bin/browse-edgar?action=getcompany&amp;CIK=00016388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2026-06-17T19:08:37Z</dcterms:created>
  <dcterms:modified xsi:type="dcterms:W3CDTF">2026-06-17T19:08:37Z</dcterms:modified>
</cp:coreProperties>
</file>