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ICONIQ Strategic Partners 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ICONIQ CAPITAL</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BEALE ST., STE. 2300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ServiceTitan,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4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8" w:lineRule="exact"/>
        <w:rPr>
          <w:sz w:val="24"/>
          <w:szCs w:val="24"/>
          <w:color w:val="auto"/>
        </w:rPr>
      </w:pPr>
    </w:p>
    <w:p>
      <w:pPr>
        <w:sectPr>
          <w:pgSz w:w="11900" w:h="16838" w:orient="portrait"/>
          <w:cols w:equalWidth="0" w:num="3">
            <w:col w:w="3200" w:space="720"/>
            <w:col w:w="3095" w:space="720"/>
            <w:col w:w="3245"/>
          </w:cols>
          <w:pgMar w:left="460" w:top="219" w:right="459" w:bottom="0" w:gutter="0" w:footer="0" w:header="0"/>
          <w:type w:val="continuous"/>
        </w:sectPr>
      </w:pPr>
    </w:p>
    <w:tbl>
      <w:tblPr>
        <w:tblLayout w:type="fixed"/>
        <w:tblInd w:w="0" w:type="dxa"/>
        <w:tblCellMar>
          <w:top w:w="0" w:type="dxa"/>
          <w:left w:w="0" w:type="dxa"/>
          <w:bottom w:w="0" w:type="dxa"/>
          <w:right w:w="0" w:type="dxa"/>
        </w:tblCellMar>
      </w:tblP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360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5"/>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760" w:type="dxa"/>
            <w:vAlign w:val="bottom"/>
            <w:tcBorders>
              <w:top w:val="single" w:sz="8" w:color="EEEEEE"/>
            </w:tcBorders>
          </w:tcPr>
          <w:p>
            <w:pPr>
              <w:spacing w:after="0"/>
              <w:rPr>
                <w:sz w:val="3"/>
                <w:szCs w:val="3"/>
                <w:color w:val="auto"/>
              </w:rPr>
            </w:pPr>
          </w:p>
        </w:tc>
        <w:tc>
          <w:tcPr>
            <w:tcW w:w="3600" w:type="dxa"/>
            <w:vAlign w:val="bottom"/>
            <w:gridSpan w:val="6"/>
            <w:vMerge w:val="continue"/>
          </w:tcPr>
          <w:p>
            <w:pPr>
              <w:spacing w:after="0"/>
              <w:rPr>
                <w:sz w:val="3"/>
                <w:szCs w:val="3"/>
                <w:color w:val="auto"/>
              </w:rPr>
            </w:pPr>
          </w:p>
        </w:tc>
        <w:tc>
          <w:tcPr>
            <w:tcW w:w="362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auto"/>
              </w:rPr>
              <w:t>Line)</w:t>
            </w: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94105</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7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ind w:left="12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780" w:type="dxa"/>
            <w:vAlign w:val="bottom"/>
          </w:tcPr>
          <w:p>
            <w:pPr>
              <w:ind w:left="120"/>
              <w:spacing w:after="0"/>
              <w:rPr>
                <w:sz w:val="20"/>
                <w:szCs w:val="20"/>
                <w:color w:val="auto"/>
              </w:rPr>
            </w:pPr>
            <w:r>
              <w:rPr>
                <w:rFonts w:ascii="Arial" w:cs="Arial" w:eastAsia="Arial" w:hAnsi="Arial"/>
                <w:sz w:val="13"/>
                <w:szCs w:val="13"/>
                <w:color w:val="auto"/>
              </w:rPr>
              <w:t>(State)</w:t>
            </w:r>
          </w:p>
        </w:tc>
        <w:tc>
          <w:tcPr>
            <w:tcW w:w="202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20" w:type="dxa"/>
            <w:vAlign w:val="bottom"/>
            <w:tcBorders>
              <w:bottom w:val="single" w:sz="8" w:color="2C2C2C"/>
            </w:tcBorders>
            <w:gridSpan w:val="8"/>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20" w:type="dxa"/>
            <w:vAlign w:val="bottom"/>
            <w:gridSpan w:val="2"/>
          </w:tcPr>
          <w:p>
            <w:pPr>
              <w:ind w:left="9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20" w:type="dxa"/>
            <w:vAlign w:val="bottom"/>
            <w:gridSpan w:val="2"/>
          </w:tcPr>
          <w:p>
            <w:pPr>
              <w:ind w:left="9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jc w:val="center"/>
              <w:ind w:right="103"/>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20" w:type="dxa"/>
            <w:vAlign w:val="bottom"/>
            <w:gridSpan w:val="2"/>
          </w:tcPr>
          <w:p>
            <w:pPr>
              <w:jc w:val="center"/>
              <w:ind w:left="84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2"/>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9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20" w:type="dxa"/>
            <w:vAlign w:val="bottom"/>
            <w:tcBorders>
              <w:bottom w:val="single" w:sz="8" w:color="2C2C2C"/>
            </w:tcBorders>
            <w:gridSpan w:val="2"/>
          </w:tcPr>
          <w:p>
            <w:pPr>
              <w:jc w:val="center"/>
              <w:ind w:left="842"/>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6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483,550</w:t>
            </w:r>
          </w:p>
        </w:tc>
        <w:tc>
          <w:tcPr>
            <w:tcW w:w="90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D</w:t>
            </w:r>
            <w:r>
              <w:rPr>
                <w:rFonts w:ascii="Times New Roman" w:cs="Times New Roman" w:eastAsia="Times New Roman" w:hAnsi="Times New Roman"/>
                <w:sz w:val="11"/>
                <w:szCs w:val="11"/>
                <w:color w:val="008000"/>
                <w:w w:val="90"/>
              </w:rPr>
              <w:t>(1)(2)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20" w:type="dxa"/>
            <w:vAlign w:val="bottom"/>
            <w:gridSpan w:val="2"/>
          </w:tcPr>
          <w:p>
            <w:pPr>
              <w:jc w:val="center"/>
              <w:ind w:left="842"/>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115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60" w:type="dxa"/>
            <w:vAlign w:val="bottom"/>
          </w:tcPr>
          <w:p>
            <w:pPr>
              <w:spacing w:after="0"/>
              <w:rPr>
                <w:sz w:val="18"/>
                <w:szCs w:val="18"/>
                <w:color w:val="auto"/>
              </w:rPr>
            </w:pPr>
          </w:p>
        </w:tc>
        <w:tc>
          <w:tcPr>
            <w:tcW w:w="780" w:type="dxa"/>
            <w:vAlign w:val="bottom"/>
          </w:tcPr>
          <w:p>
            <w:pPr>
              <w:jc w:val="center"/>
              <w:ind w:right="6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63.01</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648,491</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V-B,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20" w:type="dxa"/>
            <w:vAlign w:val="bottom"/>
            <w:gridSpan w:val="2"/>
          </w:tcPr>
          <w:p>
            <w:pPr>
              <w:jc w:val="center"/>
              <w:ind w:left="842"/>
              <w:spacing w:after="0"/>
              <w:rPr>
                <w:sz w:val="20"/>
                <w:szCs w:val="20"/>
                <w:color w:val="auto"/>
              </w:rPr>
            </w:pPr>
            <w:r>
              <w:rPr>
                <w:rFonts w:ascii="Times New Roman" w:cs="Times New Roman" w:eastAsia="Times New Roman" w:hAnsi="Times New Roman"/>
                <w:sz w:val="17"/>
                <w:szCs w:val="17"/>
                <w:color w:val="0000FF"/>
              </w:rPr>
              <w:t>06/23/2026</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39,739</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63.4172</w:t>
            </w:r>
            <w:r>
              <w:rPr>
                <w:rFonts w:ascii="Times New Roman" w:cs="Times New Roman" w:eastAsia="Times New Roman" w:hAnsi="Times New Roman"/>
                <w:sz w:val="22"/>
                <w:szCs w:val="22"/>
                <w:color w:val="008000"/>
                <w:w w:val="97"/>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443,811</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20" w:type="dxa"/>
            <w:vAlign w:val="bottom"/>
            <w:gridSpan w:val="2"/>
          </w:tcPr>
          <w:p>
            <w:pPr>
              <w:jc w:val="center"/>
              <w:ind w:left="842"/>
              <w:spacing w:after="0"/>
              <w:rPr>
                <w:sz w:val="20"/>
                <w:szCs w:val="20"/>
                <w:color w:val="auto"/>
              </w:rPr>
            </w:pPr>
            <w:r>
              <w:rPr>
                <w:rFonts w:ascii="Times New Roman" w:cs="Times New Roman" w:eastAsia="Times New Roman" w:hAnsi="Times New Roman"/>
                <w:sz w:val="17"/>
                <w:szCs w:val="17"/>
                <w:color w:val="0000FF"/>
              </w:rPr>
              <w:t>06/23/2026</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53,295</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63.4172</w:t>
            </w:r>
            <w:r>
              <w:rPr>
                <w:rFonts w:ascii="Times New Roman" w:cs="Times New Roman" w:eastAsia="Times New Roman" w:hAnsi="Times New Roman"/>
                <w:sz w:val="22"/>
                <w:szCs w:val="22"/>
                <w:color w:val="008000"/>
                <w:w w:val="97"/>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595,196</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V-B,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20" w:type="dxa"/>
            <w:vAlign w:val="bottom"/>
            <w:gridSpan w:val="2"/>
          </w:tcPr>
          <w:p>
            <w:pPr>
              <w:jc w:val="center"/>
              <w:ind w:left="842"/>
              <w:spacing w:after="0"/>
              <w:rPr>
                <w:sz w:val="20"/>
                <w:szCs w:val="20"/>
                <w:color w:val="auto"/>
              </w:rPr>
            </w:pPr>
            <w:r>
              <w:rPr>
                <w:rFonts w:ascii="Times New Roman" w:cs="Times New Roman" w:eastAsia="Times New Roman" w:hAnsi="Times New Roman"/>
                <w:sz w:val="17"/>
                <w:szCs w:val="17"/>
                <w:color w:val="0000FF"/>
              </w:rPr>
              <w:t>06/23/2026</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64.1806</w:t>
            </w:r>
            <w:r>
              <w:rPr>
                <w:rFonts w:ascii="Times New Roman" w:cs="Times New Roman" w:eastAsia="Times New Roman" w:hAnsi="Times New Roman"/>
                <w:sz w:val="22"/>
                <w:szCs w:val="22"/>
                <w:color w:val="008000"/>
                <w:w w:val="97"/>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443,221</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020" w:type="dxa"/>
            <w:vAlign w:val="bottom"/>
            <w:gridSpan w:val="2"/>
          </w:tcPr>
          <w:p>
            <w:pPr>
              <w:jc w:val="center"/>
              <w:ind w:left="842"/>
              <w:spacing w:after="0"/>
              <w:rPr>
                <w:sz w:val="20"/>
                <w:szCs w:val="20"/>
                <w:color w:val="auto"/>
              </w:rPr>
            </w:pPr>
            <w:r>
              <w:rPr>
                <w:rFonts w:ascii="Times New Roman" w:cs="Times New Roman" w:eastAsia="Times New Roman" w:hAnsi="Times New Roman"/>
                <w:sz w:val="17"/>
                <w:szCs w:val="17"/>
                <w:color w:val="0000FF"/>
              </w:rPr>
              <w:t>06/23/2026</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791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64.1806</w:t>
            </w:r>
            <w:r>
              <w:rPr>
                <w:rFonts w:ascii="Times New Roman" w:cs="Times New Roman" w:eastAsia="Times New Roman" w:hAnsi="Times New Roman"/>
                <w:sz w:val="22"/>
                <w:szCs w:val="22"/>
                <w:color w:val="008000"/>
                <w:w w:val="97"/>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594,405</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V-B,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3,603,256</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II,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2,820,790</w:t>
            </w:r>
          </w:p>
        </w:tc>
        <w:tc>
          <w:tcPr>
            <w:tcW w:w="9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(1)(2)</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II-B,</w:t>
      </w:r>
    </w:p>
    <w:p>
      <w:pPr>
        <w:spacing w:after="0" w:line="18"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L.P.</w:t>
      </w:r>
    </w:p>
    <w:p>
      <w:pPr>
        <w:sectPr>
          <w:pgSz w:w="11900" w:h="16838" w:orient="portrait"/>
          <w:cols w:equalWidth="0" w:num="1">
            <w:col w:w="10980"/>
          </w:cols>
          <w:pgMar w:left="460" w:top="219" w:right="459" w:bottom="0" w:gutter="0" w:footer="0" w:header="0"/>
          <w:type w:val="continuous"/>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46" w:orient="portrait"/>
          <w:cols w:equalWidth="0" w:num="1">
            <w:col w:w="11060"/>
          </w:cols>
          <w:pgMar w:left="460" w:top="19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3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Strategic</w:t>
            </w:r>
          </w:p>
        </w:tc>
        <w:tc>
          <w:tcPr>
            <w:tcW w:w="0" w:type="dxa"/>
            <w:vAlign w:val="bottom"/>
          </w:tcPr>
          <w:p>
            <w:pPr>
              <w:spacing w:after="0"/>
              <w:rPr>
                <w:sz w:val="1"/>
                <w:szCs w:val="1"/>
                <w:color w:val="auto"/>
              </w:rPr>
            </w:pPr>
          </w:p>
        </w:tc>
      </w:tr>
      <w:tr>
        <w:trPr>
          <w:trHeight w:val="213"/>
        </w:trPr>
        <w:tc>
          <w:tcPr>
            <w:tcW w:w="960" w:type="dxa"/>
            <w:vAlign w:val="bottom"/>
            <w:vMerge w:val="restart"/>
          </w:tcPr>
          <w:p>
            <w:pPr>
              <w:jc w:val="center"/>
              <w:ind w:right="173"/>
              <w:spacing w:after="0"/>
              <w:rPr>
                <w:sz w:val="20"/>
                <w:szCs w:val="20"/>
                <w:color w:val="auto"/>
              </w:rPr>
            </w:pPr>
            <w:r>
              <w:rPr>
                <w:rFonts w:ascii="Times New Roman" w:cs="Times New Roman" w:eastAsia="Times New Roman" w:hAnsi="Times New Roman"/>
                <w:sz w:val="17"/>
                <w:szCs w:val="17"/>
                <w:color w:val="0000FF"/>
              </w:rPr>
              <w:t>1,484,219</w:t>
            </w:r>
          </w:p>
        </w:tc>
        <w:tc>
          <w:tcPr>
            <w:tcW w:w="760" w:type="dxa"/>
            <w:vAlign w:val="bottom"/>
            <w:vMerge w:val="restart"/>
          </w:tcPr>
          <w:p>
            <w:pPr>
              <w:jc w:val="center"/>
              <w:ind w:left="29"/>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(1)(2)</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74"/>
        </w:trPr>
        <w:tc>
          <w:tcPr>
            <w:tcW w:w="9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II Co-</w:t>
            </w:r>
          </w:p>
        </w:tc>
        <w:tc>
          <w:tcPr>
            <w:tcW w:w="0" w:type="dxa"/>
            <w:vAlign w:val="bottom"/>
          </w:tcPr>
          <w:p>
            <w:pPr>
              <w:spacing w:after="0"/>
              <w:rPr>
                <w:sz w:val="1"/>
                <w:szCs w:val="1"/>
                <w:color w:val="auto"/>
              </w:rPr>
            </w:pPr>
          </w:p>
        </w:tc>
      </w:tr>
      <w:tr>
        <w:trPr>
          <w:trHeight w:val="39"/>
        </w:trPr>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Invest,</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L.P. (ST</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Series)</w:t>
            </w:r>
          </w:p>
        </w:tc>
        <w:tc>
          <w:tcPr>
            <w:tcW w:w="0" w:type="dxa"/>
            <w:vAlign w:val="bottom"/>
          </w:tcPr>
          <w:p>
            <w:pPr>
              <w:spacing w:after="0"/>
              <w:rPr>
                <w:sz w:val="1"/>
                <w:szCs w:val="1"/>
                <w:color w:val="auto"/>
              </w:rPr>
            </w:pPr>
          </w:p>
        </w:tc>
      </w:tr>
      <w:tr>
        <w:trPr>
          <w:trHeight w:val="33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Strategic</w:t>
            </w:r>
          </w:p>
        </w:tc>
        <w:tc>
          <w:tcPr>
            <w:tcW w:w="0" w:type="dxa"/>
            <w:vAlign w:val="bottom"/>
          </w:tcPr>
          <w:p>
            <w:pPr>
              <w:spacing w:after="0"/>
              <w:rPr>
                <w:sz w:val="1"/>
                <w:szCs w:val="1"/>
                <w:color w:val="auto"/>
              </w:rPr>
            </w:pPr>
          </w:p>
        </w:tc>
      </w:tr>
      <w:tr>
        <w:trPr>
          <w:trHeight w:val="213"/>
        </w:trPr>
        <w:tc>
          <w:tcPr>
            <w:tcW w:w="960" w:type="dxa"/>
            <w:vAlign w:val="bottom"/>
            <w:vMerge w:val="restart"/>
          </w:tcPr>
          <w:p>
            <w:pPr>
              <w:jc w:val="center"/>
              <w:ind w:right="153"/>
              <w:spacing w:after="0"/>
              <w:rPr>
                <w:sz w:val="20"/>
                <w:szCs w:val="20"/>
                <w:color w:val="auto"/>
              </w:rPr>
            </w:pPr>
            <w:r>
              <w:rPr>
                <w:rFonts w:ascii="Times New Roman" w:cs="Times New Roman" w:eastAsia="Times New Roman" w:hAnsi="Times New Roman"/>
                <w:sz w:val="17"/>
                <w:szCs w:val="17"/>
                <w:color w:val="0000FF"/>
              </w:rPr>
              <w:t>605,872</w:t>
            </w:r>
          </w:p>
        </w:tc>
        <w:tc>
          <w:tcPr>
            <w:tcW w:w="760" w:type="dxa"/>
            <w:vAlign w:val="bottom"/>
            <w:vMerge w:val="restart"/>
          </w:tcPr>
          <w:p>
            <w:pPr>
              <w:jc w:val="center"/>
              <w:ind w:left="29"/>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(1)(2)</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74"/>
        </w:trPr>
        <w:tc>
          <w:tcPr>
            <w:tcW w:w="9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II Co-</w:t>
            </w:r>
          </w:p>
        </w:tc>
        <w:tc>
          <w:tcPr>
            <w:tcW w:w="0" w:type="dxa"/>
            <w:vAlign w:val="bottom"/>
          </w:tcPr>
          <w:p>
            <w:pPr>
              <w:spacing w:after="0"/>
              <w:rPr>
                <w:sz w:val="1"/>
                <w:szCs w:val="1"/>
                <w:color w:val="auto"/>
              </w:rPr>
            </w:pPr>
          </w:p>
        </w:tc>
      </w:tr>
      <w:tr>
        <w:trPr>
          <w:trHeight w:val="39"/>
        </w:trPr>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Invest,</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4"/>
              </w:rPr>
              <w:t>L.P. (ST-</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2 Series)</w:t>
            </w:r>
          </w:p>
        </w:tc>
        <w:tc>
          <w:tcPr>
            <w:tcW w:w="0" w:type="dxa"/>
            <w:vAlign w:val="bottom"/>
          </w:tcPr>
          <w:p>
            <w:pPr>
              <w:spacing w:after="0"/>
              <w:rPr>
                <w:sz w:val="1"/>
                <w:szCs w:val="1"/>
                <w:color w:val="auto"/>
              </w:rPr>
            </w:pPr>
          </w:p>
        </w:tc>
      </w:tr>
      <w:tr>
        <w:trPr>
          <w:trHeight w:val="33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96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0000FF"/>
              </w:rPr>
              <w:t>735,893</w:t>
            </w:r>
          </w:p>
        </w:tc>
        <w:tc>
          <w:tcPr>
            <w:tcW w:w="760" w:type="dxa"/>
            <w:vAlign w:val="bottom"/>
          </w:tcPr>
          <w:p>
            <w:pPr>
              <w:jc w:val="center"/>
              <w:ind w:left="2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Strategic</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III, L.P.</w:t>
            </w:r>
          </w:p>
        </w:tc>
        <w:tc>
          <w:tcPr>
            <w:tcW w:w="0" w:type="dxa"/>
            <w:vAlign w:val="bottom"/>
          </w:tcPr>
          <w:p>
            <w:pPr>
              <w:spacing w:after="0"/>
              <w:rPr>
                <w:sz w:val="1"/>
                <w:szCs w:val="1"/>
                <w:color w:val="auto"/>
              </w:rPr>
            </w:pPr>
          </w:p>
        </w:tc>
      </w:tr>
      <w:tr>
        <w:trPr>
          <w:trHeight w:val="33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960" w:type="dxa"/>
            <w:vAlign w:val="bottom"/>
            <w:vMerge w:val="restart"/>
          </w:tcPr>
          <w:p>
            <w:pPr>
              <w:jc w:val="center"/>
              <w:ind w:right="153"/>
              <w:spacing w:after="0"/>
              <w:rPr>
                <w:sz w:val="20"/>
                <w:szCs w:val="20"/>
                <w:color w:val="auto"/>
              </w:rPr>
            </w:pPr>
            <w:r>
              <w:rPr>
                <w:rFonts w:ascii="Times New Roman" w:cs="Times New Roman" w:eastAsia="Times New Roman" w:hAnsi="Times New Roman"/>
                <w:sz w:val="17"/>
                <w:szCs w:val="17"/>
                <w:color w:val="0000FF"/>
              </w:rPr>
              <w:t>786,307</w:t>
            </w:r>
          </w:p>
        </w:tc>
        <w:tc>
          <w:tcPr>
            <w:tcW w:w="760" w:type="dxa"/>
            <w:vAlign w:val="bottom"/>
            <w:vMerge w:val="restart"/>
          </w:tcPr>
          <w:p>
            <w:pPr>
              <w:jc w:val="center"/>
              <w:ind w:left="29"/>
              <w:spacing w:after="0" w:line="387" w:lineRule="exact"/>
              <w:rPr>
                <w:sz w:val="20"/>
                <w:szCs w:val="20"/>
                <w:color w:val="auto"/>
              </w:rPr>
            </w:pPr>
            <w:r>
              <w:rPr>
                <w:rFonts w:ascii="Times New Roman" w:cs="Times New Roman" w:eastAsia="Times New Roman" w:hAnsi="Times New Roman"/>
                <w:sz w:val="34"/>
                <w:szCs w:val="34"/>
                <w:color w:val="0000FF"/>
                <w:w w:val="96"/>
                <w:vertAlign w:val="subscript"/>
              </w:rPr>
              <w:t>I</w:t>
            </w:r>
            <w:r>
              <w:rPr>
                <w:rFonts w:ascii="Times New Roman" w:cs="Times New Roman" w:eastAsia="Times New Roman" w:hAnsi="Times New Roman"/>
                <w:sz w:val="11"/>
                <w:szCs w:val="11"/>
                <w:color w:val="008000"/>
                <w:w w:val="96"/>
              </w:rPr>
              <w:t>(1)(2)</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Strategic</w:t>
            </w:r>
          </w:p>
        </w:tc>
        <w:tc>
          <w:tcPr>
            <w:tcW w:w="0" w:type="dxa"/>
            <w:vAlign w:val="bottom"/>
          </w:tcPr>
          <w:p>
            <w:pPr>
              <w:spacing w:after="0"/>
              <w:rPr>
                <w:sz w:val="1"/>
                <w:szCs w:val="1"/>
                <w:color w:val="auto"/>
              </w:rPr>
            </w:pPr>
          </w:p>
        </w:tc>
      </w:tr>
      <w:tr>
        <w:trPr>
          <w:trHeight w:val="174"/>
        </w:trPr>
        <w:tc>
          <w:tcPr>
            <w:tcW w:w="9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III-B,</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33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Strategic</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96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0000FF"/>
              </w:rPr>
              <w:t>247,163</w:t>
            </w:r>
          </w:p>
        </w:tc>
        <w:tc>
          <w:tcPr>
            <w:tcW w:w="760" w:type="dxa"/>
            <w:vAlign w:val="bottom"/>
          </w:tcPr>
          <w:p>
            <w:pPr>
              <w:jc w:val="center"/>
              <w:ind w:left="2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V Co-</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Invest,</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(Series</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ST)</w:t>
            </w:r>
          </w:p>
        </w:tc>
        <w:tc>
          <w:tcPr>
            <w:tcW w:w="0" w:type="dxa"/>
            <w:vAlign w:val="bottom"/>
          </w:tcPr>
          <w:p>
            <w:pPr>
              <w:spacing w:after="0"/>
              <w:rPr>
                <w:sz w:val="1"/>
                <w:szCs w:val="1"/>
                <w:color w:val="auto"/>
              </w:rPr>
            </w:pPr>
          </w:p>
        </w:tc>
      </w:tr>
      <w:tr>
        <w:trPr>
          <w:trHeight w:val="33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ICONIQ</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Strategic</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960" w:type="dxa"/>
            <w:vAlign w:val="bottom"/>
          </w:tcPr>
          <w:p>
            <w:pPr>
              <w:jc w:val="center"/>
              <w:ind w:right="173"/>
              <w:spacing w:after="0"/>
              <w:rPr>
                <w:sz w:val="20"/>
                <w:szCs w:val="20"/>
                <w:color w:val="auto"/>
              </w:rPr>
            </w:pPr>
            <w:r>
              <w:rPr>
                <w:rFonts w:ascii="Times New Roman" w:cs="Times New Roman" w:eastAsia="Times New Roman" w:hAnsi="Times New Roman"/>
                <w:sz w:val="17"/>
                <w:szCs w:val="17"/>
                <w:color w:val="0000FF"/>
                <w:w w:val="97"/>
              </w:rPr>
              <w:t>111,891</w:t>
            </w:r>
          </w:p>
        </w:tc>
        <w:tc>
          <w:tcPr>
            <w:tcW w:w="760" w:type="dxa"/>
            <w:vAlign w:val="bottom"/>
          </w:tcPr>
          <w:p>
            <w:pPr>
              <w:jc w:val="center"/>
              <w:ind w:left="2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(1)(2)</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V Co-</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Invest,</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213"/>
        </w:trPr>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(Series</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ST2)</w:t>
            </w:r>
          </w:p>
        </w:tc>
        <w:tc>
          <w:tcPr>
            <w:tcW w:w="0" w:type="dxa"/>
            <w:vAlign w:val="bottom"/>
          </w:tcPr>
          <w:p>
            <w:pPr>
              <w:spacing w:after="0"/>
              <w:rPr>
                <w:sz w:val="1"/>
                <w:szCs w:val="1"/>
                <w:color w:val="auto"/>
              </w:rPr>
            </w:pPr>
          </w:p>
        </w:tc>
      </w:tr>
      <w:tr>
        <w:trPr>
          <w:trHeight w:val="33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0000FF"/>
              </w:rPr>
              <w:t>357,747</w:t>
            </w:r>
          </w:p>
        </w:tc>
        <w:tc>
          <w:tcPr>
            <w:tcW w:w="760" w:type="dxa"/>
            <w:vAlign w:val="bottom"/>
          </w:tcPr>
          <w:p>
            <w:pPr>
              <w:jc w:val="center"/>
              <w:ind w:left="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(5)</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Divesh</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Makan</w:t>
            </w:r>
          </w:p>
        </w:tc>
        <w:tc>
          <w:tcPr>
            <w:tcW w:w="0" w:type="dxa"/>
            <w:vAlign w:val="bottom"/>
          </w:tcPr>
          <w:p>
            <w:pPr>
              <w:spacing w:after="0"/>
              <w:rPr>
                <w:sz w:val="1"/>
                <w:szCs w:val="1"/>
                <w:color w:val="auto"/>
              </w:rPr>
            </w:pPr>
          </w:p>
        </w:tc>
      </w:tr>
      <w:tr>
        <w:trPr>
          <w:trHeight w:val="333"/>
        </w:trPr>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960" w:type="dxa"/>
            <w:vAlign w:val="bottom"/>
          </w:tcPr>
          <w:p>
            <w:pPr>
              <w:jc w:val="center"/>
              <w:ind w:right="153"/>
              <w:spacing w:after="0"/>
              <w:rPr>
                <w:sz w:val="20"/>
                <w:szCs w:val="20"/>
                <w:color w:val="auto"/>
              </w:rPr>
            </w:pPr>
            <w:r>
              <w:rPr>
                <w:rFonts w:ascii="Times New Roman" w:cs="Times New Roman" w:eastAsia="Times New Roman" w:hAnsi="Times New Roman"/>
                <w:sz w:val="17"/>
                <w:szCs w:val="17"/>
                <w:color w:val="0000FF"/>
              </w:rPr>
              <w:t>112,158</w:t>
            </w:r>
          </w:p>
        </w:tc>
        <w:tc>
          <w:tcPr>
            <w:tcW w:w="760" w:type="dxa"/>
            <w:vAlign w:val="bottom"/>
          </w:tcPr>
          <w:p>
            <w:pPr>
              <w:jc w:val="center"/>
              <w:ind w:left="9"/>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(6)</w:t>
            </w: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Matthew</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6"/>
              </w:rPr>
              <w:t>Jacobson</w:t>
            </w:r>
          </w:p>
        </w:tc>
        <w:tc>
          <w:tcPr>
            <w:tcW w:w="0" w:type="dxa"/>
            <w:vAlign w:val="bottom"/>
          </w:tcPr>
          <w:p>
            <w:pPr>
              <w:spacing w:after="0"/>
              <w:rPr>
                <w:sz w:val="1"/>
                <w:szCs w:val="1"/>
                <w:color w:val="auto"/>
              </w:rPr>
            </w:pPr>
          </w:p>
        </w:tc>
      </w:tr>
    </w:tbl>
    <w:p>
      <w:pPr>
        <w:spacing w:after="0" w:line="146" w:lineRule="exact"/>
        <w:rPr>
          <w:sz w:val="20"/>
          <w:szCs w:val="20"/>
          <w:color w:val="auto"/>
        </w:rPr>
      </w:pPr>
    </w:p>
    <w:p>
      <w:pPr>
        <w:sectPr>
          <w:pgSz w:w="11900" w:h="16846" w:orient="portrait"/>
          <w:cols w:equalWidth="0" w:num="2">
            <w:col w:w="7640" w:space="720"/>
            <w:col w:w="2700"/>
          </w:cols>
          <w:pgMar w:left="460" w:top="191" w:right="3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r>
      <w:tr>
        <w:trPr>
          <w:trHeight w:val="20"/>
        </w:trPr>
        <w:tc>
          <w:tcPr>
            <w:tcW w:w="2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4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46" w:orient="portrait"/>
          <w:cols w:equalWidth="0" w:num="1">
            <w:col w:w="11060"/>
          </w:cols>
          <w:pgMar w:left="460" w:top="191" w:right="379" w:bottom="0" w:gutter="0" w:footer="0" w:header="0"/>
          <w:type w:val="continuous"/>
        </w:sectPr>
      </w:pPr>
    </w:p>
    <w:bookmarkStart w:id="2" w:name="page3"/>
    <w:bookmarkEnd w:id="2"/>
    <w:p>
      <w:pPr>
        <w:ind w:left="8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ICONIQ Strategic Partners V,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-134620</wp:posOffset>
            </wp:positionV>
            <wp:extent cx="2809240" cy="7518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751840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ICONIQ CAPITAL</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 BEALE ST., STE. 2300</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ICONIQ Strategic Partners V-B,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ICONIQ CAPITAL</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 BEALE ST., STE. 2300</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ICONIQ Strategic Partners V GP,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ICONIQ CAPITAL</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 BEALE ST., STE. 2300</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ICONIQ Strategic Partners V TT GP, Ltd.</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0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ICONIQ CAPITAL</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 BEALE ST., STE. 2300</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82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94105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4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0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ICONIQ Strategic Partners II GP, L.P. ("ICONIQ II GP") is the sole general partner of ICONIQ Strategic Partners II, L.P. ("ICONIQ II"), ICONIQ Strategic Partners II-B, L.P. ("ICONIQ II-B"), ICONIQ Strategic Partners II Co-Invest, L.P. (ST Series) ("ICONIQ II ST") and ICONIQ Strategic Partners II Co-Invest, L.P. (ST-2 Series) ("ICONIQ II ST2"). ICONIQ Strategic Partners II TT GP, Ltd. ("ICONIQ II Parent GP") is the sole general partner of ICONIQ II GP. ICONIQ Strategic Partners III GP, L.P. ("ICONIQ III GP") is the sole general partner of ICONIQ Strategic Partners III, L.P. ("ICONIQ III") and ICONIQ Strategic Partners III-B, L.P. ("ICONIQ III-B"). ICONIQ Strategic Partners III TT GP, Ltd. ("ICONIQ III Parent GP") is the sole general partner of ICONIQ III GP. ICONIQ Strategic Partners V GP, L.P. ("ICONIQ V GP") is the sole general partner of ICONIQ Strategic Partners V, L.P. ("ICONIQ V"), ICONIQ Strategic Partners V-B, L.P. ("ICONIQ V-B"), ICONIQ Strategic Partners V Co-Invest, L.P.</w:t>
      </w:r>
    </w:p>
    <w:p>
      <w:pPr>
        <w:spacing w:after="0" w:line="28" w:lineRule="exact"/>
        <w:rPr>
          <w:rFonts w:ascii="Times New Roman" w:cs="Times New Roman" w:eastAsia="Times New Roman" w:hAnsi="Times New Roman"/>
          <w:sz w:val="13"/>
          <w:szCs w:val="13"/>
          <w:color w:val="008000"/>
        </w:rPr>
      </w:pPr>
    </w:p>
    <w:p>
      <w:pPr>
        <w:ind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(Series ST) ("ICONIQ V ST") and ICONIQ Strategic Partners V Co-Invest, L.P. (Series ST2) ("ICONIQ V ST2"). ICONIQ Strategic Partners V TT GP, Ltd. ("ICONIQ V Parent GP") is the sole general partner of ICONIQ V GP. Divesh Makan and William J.G. Griffith are the sole equity holders of ICONIQ II Parent GP and ICONIQ III Parent GP and Divesh Makan, William J.G. Griffith and Matthew Jacobson are the sole equity holders of ICONIQ V Parent GP. Each of ICONIQ II GP, ICONIQ II Parent GP, ICONIQ III GP, ICONIQ III Parent GP, ICONIQ V GP, ICONIQ V Parent GP and Messrs. Makan, Griffith and Jacobson disclaims beneficial ownership of the securities reported herein for purposes of Section 16 of the Exchange Act, except to the extent of its or his pecuniary interest therein, if any. This report shall not be deemed an admission that any of the Reporting Persons is a beneficial owner of such securities for the purpose of Section 16 of the Exchange Act, or for any other purpose.</w:t>
      </w:r>
    </w:p>
    <w:p>
      <w:pPr>
        <w:spacing w:after="0" w:line="28"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$63.00 to $63.91. Full information regarding the number of shares sold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$64.09 to $64.275. Full information regarding the number of shares sold at each separate price can be furnished to the SEC staff upon request.</w:t>
      </w:r>
    </w:p>
    <w:p>
      <w:pPr>
        <w:spacing w:after="0" w:line="7" w:lineRule="exact"/>
        <w:rPr>
          <w:rFonts w:ascii="Times New Roman" w:cs="Times New Roman" w:eastAsia="Times New Roman" w:hAnsi="Times New Roman"/>
          <w:sz w:val="13"/>
          <w:szCs w:val="13"/>
          <w:color w:val="008000"/>
        </w:rPr>
      </w:pPr>
    </w:p>
    <w:p>
      <w:pPr>
        <w:jc w:val="both"/>
        <w:ind w:right="10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Makan through his family trust of which he is a trustee and another estate planning trust having an independent trustee. Makan disclaims beneficial ownership of the shares held by such trusts for purposes of Section 16 of the Exchange Act, except to the extent of his pecuniary interest therein, if any. This report shall not be deemed an admission that Makan is a beneficial owner of such securities for the purpose of Section 16 of the Exchange Act, or for any other purpose.</w:t>
      </w:r>
    </w:p>
    <w:p>
      <w:pPr>
        <w:spacing w:after="0" w:line="20" w:lineRule="exact"/>
        <w:rPr>
          <w:rFonts w:ascii="Times New Roman" w:cs="Times New Roman" w:eastAsia="Times New Roman" w:hAnsi="Times New Roman"/>
          <w:sz w:val="13"/>
          <w:szCs w:val="13"/>
          <w:color w:val="008000"/>
        </w:rPr>
      </w:pPr>
    </w:p>
    <w:p>
      <w:pPr>
        <w:jc w:val="both"/>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Jacobson through a trust of which he is a trustee. Jacobson disclaims beneficial ownership of the shares held by such trust for purposes of Section 16 of the Exchange Act, except to the extent of his pecuniary interest therein, if any. This report shall not be deemed an admission that Jacobson is a beneficial owner of such securities for the purpose of Section 16 of the Exchange Act, or for any other purpose.</w:t>
      </w:r>
    </w:p>
    <w:p>
      <w:pPr>
        <w:spacing w:after="0" w:line="45"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ICONIQ Strategic Partners V,</w:t>
        <w:tab/>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ICONIQ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GP,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3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ICONIQ Strategic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ectPr>
          <w:pgSz w:w="11900" w:h="16838" w:orient="portrait"/>
          <w:cols w:equalWidth="0" w:num="1">
            <w:col w:w="10880"/>
          </w:cols>
          <w:pgMar w:left="500" w:top="111" w:right="519" w:bottom="0" w:gutter="0" w:footer="0" w:header="0"/>
        </w:sectPr>
      </w:pPr>
    </w:p>
    <w:bookmarkStart w:id="3" w:name="page4"/>
    <w:bookmarkEnd w:id="3"/>
    <w:p>
      <w:pPr>
        <w:ind w:left="6540" w:firstLine="9"/>
        <w:spacing w:after="0" w:line="280" w:lineRule="auto"/>
        <w:tabs>
          <w:tab w:leader="none" w:pos="6795" w:val="left"/>
        </w:tabs>
        <w:numPr>
          <w:ilvl w:val="0"/>
          <w:numId w:val="3"/>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GP, Ltd., By: Kevin Foster, Title: Head of Strategy, /s/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-314960</wp:posOffset>
            </wp:positionV>
            <wp:extent cx="1361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-179070</wp:posOffset>
            </wp:positionV>
            <wp:extent cx="1158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5887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-43815</wp:posOffset>
            </wp:positionV>
            <wp:extent cx="571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ICONIQ Strategic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46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 L.P., By: ICONIQ Strategic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42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V GP,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3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636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ICONIQ Strategic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firstLine="9"/>
        <w:spacing w:after="0" w:line="272" w:lineRule="auto"/>
        <w:tabs>
          <w:tab w:leader="none" w:pos="6795" w:val="left"/>
        </w:tabs>
        <w:numPr>
          <w:ilvl w:val="0"/>
          <w:numId w:val="4"/>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GP, Ltd., By: Kevin Foster, Title: Head of Strategy, /s/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-310515</wp:posOffset>
            </wp:positionV>
            <wp:extent cx="1361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6144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-175260</wp:posOffset>
            </wp:positionV>
            <wp:extent cx="11588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5887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-40005</wp:posOffset>
            </wp:positionV>
            <wp:extent cx="571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ICONIQ Strategic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7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L.P., By: ICONIQ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10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9810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Strategic Partners V TT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Ltd., By: Kevin Foster,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782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Head of Strategy, /s/ Kevin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3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74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ICONIQ Strategic Partners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7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11" w:lineRule="exact"/>
        <w:rPr>
          <w:sz w:val="20"/>
          <w:szCs w:val="20"/>
          <w:color w:val="auto"/>
        </w:rPr>
      </w:pPr>
    </w:p>
    <w:p>
      <w:pPr>
        <w:ind w:left="6540" w:firstLine="9"/>
        <w:spacing w:after="0" w:line="272" w:lineRule="auto"/>
        <w:tabs>
          <w:tab w:leader="none" w:pos="6795" w:val="left"/>
        </w:tabs>
        <w:numPr>
          <w:ilvl w:val="0"/>
          <w:numId w:val="5"/>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GP, Ltd., By: Kevin Foster, Title: Head of Strategy, /s/ Kevin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-310515</wp:posOffset>
            </wp:positionV>
            <wp:extent cx="1361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361440"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-175260</wp:posOffset>
            </wp:positionV>
            <wp:extent cx="11588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5887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-40005</wp:posOffset>
            </wp:positionV>
            <wp:extent cx="571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4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6"/>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46"/>
    </w:lvl>
  </w:abstractNum>
  <w:abstractNum w:abstractNumId="3">
    <w:nsid w:val="46E87CCD"/>
    <w:multiLevelType w:val="hybridMultilevel"/>
    <w:lvl w:ilvl="0">
      <w:lvlJc w:val="left"/>
      <w:lvlText w:val="%1"/>
      <w:numFmt w:val="upperLetter"/>
      <w:start w:val="46"/>
    </w:lvl>
  </w:abstractNum>
  <w:abstractNum w:abstractNumId="4">
    <w:nsid w:val="3D1B58BA"/>
    <w:multiLevelType w:val="hybridMultilevel"/>
    <w:lvl w:ilvl="0">
      <w:lvlJc w:val="left"/>
      <w:lvlText w:val="%1"/>
      <w:numFmt w:val="upperLetter"/>
      <w:start w:val="46"/>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13" Type="http://schemas.openxmlformats.org/officeDocument/2006/relationships/hyperlink" Target="http://www.sec.gov/cgi-bin/browse-edgar?action=getcompany&amp;CIK=0001816067" TargetMode="External"/><Relationship Id="rId14" Type="http://schemas.openxmlformats.org/officeDocument/2006/relationships/hyperlink" Target="http://www.sec.gov/cgi-bin/browse-edgar?action=getcompany&amp;CIK=0001638826" TargetMode="External"/><Relationship Id="rId18" Type="http://schemas.openxmlformats.org/officeDocument/2006/relationships/hyperlink" Target="http://www.sec.gov/cgi-bin/browse-edgar?action=getcompany&amp;CIK=0001816068" TargetMode="External"/><Relationship Id="rId19" Type="http://schemas.openxmlformats.org/officeDocument/2006/relationships/hyperlink" Target="http://www.sec.gov/cgi-bin/browse-edgar?action=getcompany&amp;CIK=0001825883" TargetMode="External"/><Relationship Id="rId20" Type="http://schemas.openxmlformats.org/officeDocument/2006/relationships/hyperlink" Target="http://www.sec.gov/cgi-bin/browse-edgar?action=getcompany&amp;CIK=000182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2026-06-24T15:42:09Z</dcterms:created>
  <dcterms:modified xsi:type="dcterms:W3CDTF">2026-06-24T15:42:09Z</dcterms:modified>
</cp:coreProperties>
</file>