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5"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380" w:right="60"/>
        <w:spacing w:after="0" w:line="25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40005</wp:posOffset>
            </wp:positionH>
            <wp:positionV relativeFrom="paragraph">
              <wp:posOffset>-241300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86" w:lineRule="exact"/>
        <w:rPr>
          <w:sz w:val="24"/>
          <w:szCs w:val="24"/>
          <w:color w:val="auto"/>
        </w:rPr>
      </w:pPr>
    </w:p>
    <w:p>
      <w:pPr>
        <w:ind w:left="380"/>
        <w:spacing w:after="0" w:line="242"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40005</wp:posOffset>
            </wp:positionH>
            <wp:positionV relativeFrom="paragraph">
              <wp:posOffset>-694690</wp:posOffset>
            </wp:positionV>
            <wp:extent cx="128905" cy="128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5173345</wp:posOffset>
            </wp:positionH>
            <wp:positionV relativeFrom="paragraph">
              <wp:posOffset>4445</wp:posOffset>
            </wp:positionV>
            <wp:extent cx="59690" cy="670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70560"/>
                    </a:xfrm>
                    <a:prstGeom prst="rect">
                      <a:avLst/>
                    </a:prstGeom>
                    <a:noFill/>
                  </pic:spPr>
                </pic:pic>
              </a:graphicData>
            </a:graphic>
          </wp:anchor>
        </w:drawing>
        <w:drawing>
          <wp:anchor simplePos="0" relativeHeight="251657728" behindDoc="1" locked="0" layoutInCell="0" allowOverlap="1">
            <wp:simplePos x="0" y="0"/>
            <wp:positionH relativeFrom="column">
              <wp:posOffset>3900170</wp:posOffset>
            </wp:positionH>
            <wp:positionV relativeFrom="paragraph">
              <wp:posOffset>4445</wp:posOffset>
            </wp:positionV>
            <wp:extent cx="59690" cy="670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90" cy="670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7"/>
        </w:trPr>
        <w:tc>
          <w:tcPr>
            <w:tcW w:w="6160" w:type="dxa"/>
            <w:vAlign w:val="bottom"/>
            <w:vMerge w:val="restart"/>
          </w:tcPr>
          <w:p>
            <w:pPr>
              <w:jc w:val="center"/>
              <w:ind w:right="245"/>
              <w:spacing w:after="0" w:line="237"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4"/>
                <w:szCs w:val="4"/>
                <w:color w:val="auto"/>
              </w:rPr>
            </w:pPr>
          </w:p>
        </w:tc>
        <w:tc>
          <w:tcPr>
            <w:tcW w:w="2020" w:type="dxa"/>
            <w:vAlign w:val="bottom"/>
            <w:tcBorders>
              <w:top w:val="single" w:sz="8" w:color="808080"/>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6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tcBorders>
              <w:top w:val="single" w:sz="8" w:color="2C2C2C"/>
            </w:tcBorders>
            <w:gridSpan w:val="2"/>
          </w:tcPr>
          <w:p>
            <w:pPr>
              <w:ind w:left="300"/>
              <w:spacing w:after="0" w:line="170" w:lineRule="exact"/>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160" w:type="dxa"/>
            <w:vAlign w:val="bottom"/>
            <w:vMerge w:val="restart"/>
          </w:tcPr>
          <w:p>
            <w:pPr>
              <w:jc w:val="center"/>
              <w:ind w:right="265"/>
              <w:spacing w:after="0"/>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
        </w:trPr>
        <w:tc>
          <w:tcPr>
            <w:tcW w:w="61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6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160" w:type="dxa"/>
            <w:vAlign w:val="bottom"/>
            <w:vMerge w:val="restart"/>
          </w:tcPr>
          <w:p>
            <w:pPr>
              <w:jc w:val="center"/>
              <w:ind w:right="24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90"/>
        </w:trPr>
        <w:tc>
          <w:tcPr>
            <w:tcW w:w="6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jc w:val="center"/>
        <w:ind w:right="2560"/>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ind w:right="256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-1734185</wp:posOffset>
            </wp:positionH>
            <wp:positionV relativeFrom="paragraph">
              <wp:posOffset>771525</wp:posOffset>
            </wp:positionV>
            <wp:extent cx="7056120" cy="5660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6120" cy="5660390"/>
                    </a:xfrm>
                    <a:prstGeom prst="rect">
                      <a:avLst/>
                    </a:prstGeom>
                    <a:noFill/>
                  </pic:spPr>
                </pic:pic>
              </a:graphicData>
            </a:graphic>
          </wp:anchor>
        </w:drawing>
      </w:r>
    </w:p>
    <w:p>
      <w:pPr>
        <w:spacing w:after="0" w:line="1226" w:lineRule="exact"/>
        <w:rPr>
          <w:sz w:val="24"/>
          <w:szCs w:val="24"/>
          <w:color w:val="auto"/>
        </w:rPr>
      </w:pPr>
    </w:p>
    <w:p>
      <w:pPr>
        <w:sectPr>
          <w:pgSz w:w="11920" w:h="16838" w:orient="portrait"/>
          <w:cols w:equalWidth="0" w:num="2">
            <w:col w:w="2300" w:space="420"/>
            <w:col w:w="8380"/>
          </w:cols>
          <w:pgMar w:left="460" w:top="215" w:right="358"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6"/>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0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gridSpan w:val="2"/>
            <w:vMerge w:val="restart"/>
          </w:tcPr>
          <w:p>
            <w:pPr>
              <w:spacing w:after="0" w:line="251" w:lineRule="exact"/>
              <w:rPr>
                <w:rFonts w:ascii="Times New Roman" w:cs="Times New Roman" w:eastAsia="Times New Roman" w:hAnsi="Times New Roman"/>
                <w:sz w:val="22"/>
                <w:szCs w:val="22"/>
                <w:color w:val="0000EE"/>
                <w:w w:val="96"/>
              </w:rPr>
            </w:pPr>
            <w:hyperlink r:id="rId13">
              <w:r>
                <w:rPr>
                  <w:rFonts w:ascii="Times New Roman" w:cs="Times New Roman" w:eastAsia="Times New Roman" w:hAnsi="Times New Roman"/>
                  <w:sz w:val="22"/>
                  <w:szCs w:val="22"/>
                  <w:color w:val="0000EE"/>
                  <w:w w:val="96"/>
                </w:rPr>
                <w:t>Deeter Byron B</w:t>
              </w:r>
            </w:hyperlink>
          </w:p>
        </w:tc>
        <w:tc>
          <w:tcPr>
            <w:tcW w:w="6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40" w:type="dxa"/>
            <w:vAlign w:val="bottom"/>
            <w:gridSpan w:val="3"/>
          </w:tcPr>
          <w:p>
            <w:pPr>
              <w:ind w:left="60"/>
              <w:spacing w:after="0" w:line="109"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ServiceTitan,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TTAN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540" w:type="dxa"/>
            <w:vAlign w:val="bottom"/>
            <w:tcBorders>
              <w:bottom w:val="single" w:sz="8" w:color="0000EE"/>
            </w:tcBorders>
          </w:tcPr>
          <w:p>
            <w:pPr>
              <w:spacing w:after="0"/>
              <w:rPr>
                <w:sz w:val="6"/>
                <w:szCs w:val="6"/>
                <w:color w:val="auto"/>
              </w:rPr>
            </w:pPr>
          </w:p>
        </w:tc>
        <w:tc>
          <w:tcPr>
            <w:tcW w:w="2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360" w:type="dxa"/>
            <w:vAlign w:val="bottom"/>
            <w:tcBorders>
              <w:bottom w:val="single" w:sz="8" w:color="0000EE"/>
            </w:tcBorders>
            <w:gridSpan w:val="2"/>
            <w:vMerge w:val="continue"/>
          </w:tcPr>
          <w:p>
            <w:pPr>
              <w:spacing w:after="0"/>
              <w:rPr>
                <w:sz w:val="5"/>
                <w:szCs w:val="5"/>
                <w:color w:val="auto"/>
              </w:rPr>
            </w:pPr>
          </w:p>
        </w:tc>
        <w:tc>
          <w:tcPr>
            <w:tcW w:w="640" w:type="dxa"/>
            <w:vAlign w:val="bottom"/>
            <w:vMerge w:val="restart"/>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860" w:type="dxa"/>
            <w:vAlign w:val="bottom"/>
            <w:vMerge w:val="restart"/>
          </w:tcPr>
          <w:p>
            <w:pPr>
              <w:ind w:left="58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6"/>
        </w:trPr>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360" w:type="dxa"/>
            <w:vAlign w:val="bottom"/>
            <w:gridSpan w:val="2"/>
          </w:tcPr>
          <w:p>
            <w:pPr>
              <w:spacing w:after="0"/>
              <w:rPr>
                <w:sz w:val="6"/>
                <w:szCs w:val="6"/>
                <w:color w:val="auto"/>
              </w:rPr>
            </w:pPr>
          </w:p>
        </w:tc>
        <w:tc>
          <w:tcPr>
            <w:tcW w:w="640" w:type="dxa"/>
            <w:vAlign w:val="bottom"/>
            <w:vMerge w:val="continue"/>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860" w:type="dxa"/>
            <w:vAlign w:val="bottom"/>
            <w:vMerge w:val="restart"/>
          </w:tcPr>
          <w:p>
            <w:pPr>
              <w:ind w:left="58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6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2240" w:type="dxa"/>
            <w:vAlign w:val="bottom"/>
            <w:tcBorders>
              <w:bottom w:val="single" w:sz="8" w:color="2C2C2C"/>
            </w:tcBorders>
          </w:tcPr>
          <w:p>
            <w:pPr>
              <w:spacing w:after="0" w:line="20" w:lineRule="exact"/>
              <w:rPr>
                <w:sz w:val="1"/>
                <w:szCs w:val="1"/>
                <w:color w:val="auto"/>
              </w:rPr>
            </w:pPr>
          </w:p>
        </w:tc>
        <w:tc>
          <w:tcPr>
            <w:tcW w:w="1860" w:type="dxa"/>
            <w:vAlign w:val="bottom"/>
            <w:vMerge w:val="continue"/>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4"/>
                <w:szCs w:val="14"/>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4"/>
                <w:szCs w:val="14"/>
                <w:color w:val="auto"/>
              </w:rPr>
              <w:t>(First)</w:t>
            </w:r>
          </w:p>
        </w:tc>
        <w:tc>
          <w:tcPr>
            <w:tcW w:w="1620" w:type="dxa"/>
            <w:vAlign w:val="bottom"/>
          </w:tcPr>
          <w:p>
            <w:pPr>
              <w:ind w:left="44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16"/>
                <w:szCs w:val="16"/>
                <w:color w:val="auto"/>
              </w:rPr>
            </w:pPr>
          </w:p>
        </w:tc>
        <w:tc>
          <w:tcPr>
            <w:tcW w:w="3840" w:type="dxa"/>
            <w:vAlign w:val="bottom"/>
            <w:gridSpan w:val="3"/>
          </w:tcPr>
          <w:p>
            <w:pPr>
              <w:ind w:left="60"/>
              <w:spacing w:after="0"/>
              <w:rPr>
                <w:sz w:val="20"/>
                <w:szCs w:val="20"/>
                <w:color w:val="auto"/>
              </w:rPr>
            </w:pPr>
            <w:r>
              <w:rPr>
                <w:rFonts w:ascii="Arial" w:cs="Arial" w:eastAsia="Arial" w:hAnsi="Arial"/>
                <w:sz w:val="14"/>
                <w:szCs w:val="14"/>
                <w:color w:val="auto"/>
              </w:rPr>
              <w:t>3. Date of Earliest Transaction (Month/Day/Year)</w:t>
            </w:r>
          </w:p>
        </w:tc>
        <w:tc>
          <w:tcPr>
            <w:tcW w:w="1860" w:type="dxa"/>
            <w:vAlign w:val="bottom"/>
          </w:tcPr>
          <w:p>
            <w:pPr>
              <w:ind w:left="5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rPr>
              <w:t>C/O BESSEMER VENTURE PARTNERS</w:t>
            </w:r>
          </w:p>
        </w:tc>
        <w:tc>
          <w:tcPr>
            <w:tcW w:w="17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0000FF"/>
              </w:rPr>
              <w:t>06/23/2026</w:t>
            </w:r>
          </w:p>
        </w:tc>
        <w:tc>
          <w:tcPr>
            <w:tcW w:w="2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rPr>
              <w:t>1865 PALMER AVENUE, SUITE 104</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tcPr>
          <w:p>
            <w:pPr>
              <w:spacing w:after="0"/>
              <w:rPr>
                <w:sz w:val="12"/>
                <w:szCs w:val="12"/>
                <w:color w:val="auto"/>
              </w:rPr>
            </w:pPr>
          </w:p>
        </w:tc>
        <w:tc>
          <w:tcPr>
            <w:tcW w:w="22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6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4"/>
                <w:szCs w:val="14"/>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40" w:type="dxa"/>
            <w:vAlign w:val="bottom"/>
            <w:gridSpan w:val="3"/>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60"/>
        <w:spacing w:after="0"/>
        <w:rPr>
          <w:sz w:val="20"/>
          <w:szCs w:val="20"/>
          <w:color w:val="auto"/>
        </w:rPr>
      </w:pPr>
      <w:r>
        <w:rPr>
          <w:rFonts w:ascii="Arial" w:cs="Arial" w:eastAsia="Arial" w:hAnsi="Arial"/>
          <w:sz w:val="14"/>
          <w:szCs w:val="14"/>
          <w:color w:val="auto"/>
        </w:rPr>
        <w:t>Line)</w:t>
      </w:r>
    </w:p>
    <w:p>
      <w:pPr>
        <w:sectPr>
          <w:pgSz w:w="11920" w:h="16838" w:orient="portrait"/>
          <w:cols w:equalWidth="0" w:num="1">
            <w:col w:w="11100"/>
          </w:cols>
          <w:pgMar w:left="460" w:top="215" w:right="358" w:bottom="1440" w:gutter="0" w:footer="0" w:header="0"/>
          <w:type w:val="continuous"/>
        </w:sectPr>
      </w:pPr>
    </w:p>
    <w:p>
      <w:pPr>
        <w:spacing w:after="0" w:line="13" w:lineRule="exact"/>
        <w:rPr>
          <w:sz w:val="20"/>
          <w:szCs w:val="20"/>
          <w:color w:val="auto"/>
        </w:rPr>
      </w:pPr>
    </w:p>
    <w:tbl>
      <w:tblPr>
        <w:tblLayout w:type="fixed"/>
        <w:tblInd w:w="80" w:type="dxa"/>
        <w:tblCellMar>
          <w:top w:w="0" w:type="dxa"/>
          <w:left w:w="0" w:type="dxa"/>
          <w:bottom w:w="0" w:type="dxa"/>
          <w:right w:w="0" w:type="dxa"/>
        </w:tblCellMar>
      </w:tblPr>
      <w:tr>
        <w:trPr>
          <w:trHeight w:val="181"/>
        </w:trPr>
        <w:tc>
          <w:tcPr>
            <w:tcW w:w="8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LARCHMONT  NY</w:t>
            </w:r>
          </w:p>
        </w:tc>
        <w:tc>
          <w:tcPr>
            <w:tcW w:w="15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10538</w:t>
            </w:r>
          </w:p>
        </w:tc>
      </w:tr>
      <w:tr>
        <w:trPr>
          <w:trHeight w:val="158"/>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13"/>
        </w:trPr>
        <w:tc>
          <w:tcPr>
            <w:tcW w:w="4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rPr>
              <w:t>(City)</w:t>
            </w:r>
          </w:p>
        </w:tc>
        <w:tc>
          <w:tcPr>
            <w:tcW w:w="1240" w:type="dxa"/>
            <w:vAlign w:val="bottom"/>
          </w:tcPr>
          <w:p>
            <w:pPr>
              <w:ind w:left="420"/>
              <w:spacing w:after="0"/>
              <w:rPr>
                <w:sz w:val="20"/>
                <w:szCs w:val="20"/>
                <w:color w:val="auto"/>
              </w:rPr>
            </w:pPr>
            <w:r>
              <w:rPr>
                <w:rFonts w:ascii="Arial" w:cs="Arial" w:eastAsia="Arial" w:hAnsi="Arial"/>
                <w:sz w:val="14"/>
                <w:szCs w:val="14"/>
                <w:color w:val="auto"/>
              </w:rPr>
              <w:t>(State)</w:t>
            </w:r>
          </w:p>
        </w:tc>
        <w:tc>
          <w:tcPr>
            <w:tcW w:w="1580" w:type="dxa"/>
            <w:vAlign w:val="bottom"/>
          </w:tcPr>
          <w:p>
            <w:pPr>
              <w:ind w:left="40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Person</w:t>
      </w:r>
    </w:p>
    <w:p>
      <w:pPr>
        <w:spacing w:after="0" w:line="495" w:lineRule="exact"/>
        <w:rPr>
          <w:sz w:val="20"/>
          <w:szCs w:val="20"/>
          <w:color w:val="auto"/>
        </w:rPr>
      </w:pPr>
    </w:p>
    <w:p>
      <w:pPr>
        <w:sectPr>
          <w:pgSz w:w="11920" w:h="16838" w:orient="portrait"/>
          <w:cols w:equalWidth="0" w:num="2">
            <w:col w:w="7580" w:space="720"/>
            <w:col w:w="2800"/>
          </w:cols>
          <w:pgMar w:left="460" w:top="215" w:right="358"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320" w:type="dxa"/>
            <w:vAlign w:val="bottom"/>
            <w:gridSpan w:val="3"/>
          </w:tcPr>
          <w:p>
            <w:pPr>
              <w:ind w:left="2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280"/>
              <w:spacing w:after="0" w:line="131"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280"/>
              <w:spacing w:after="0" w:line="136"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4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3"/>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vMerge w:val="restart"/>
          </w:tcPr>
          <w:p>
            <w:pPr>
              <w:ind w:left="80"/>
              <w:spacing w:after="0" w:line="136" w:lineRule="exact"/>
              <w:rPr>
                <w:sz w:val="20"/>
                <w:szCs w:val="20"/>
                <w:color w:val="auto"/>
              </w:rPr>
            </w:pPr>
            <w:r>
              <w:rPr>
                <w:rFonts w:ascii="Arial" w:cs="Arial" w:eastAsia="Arial" w:hAnsi="Arial"/>
                <w:sz w:val="12"/>
                <w:szCs w:val="12"/>
                <w:b w:val="1"/>
                <w:bCs w:val="1"/>
                <w:color w:val="auto"/>
                <w:w w:val="98"/>
              </w:rPr>
              <w:t>Reported</w:t>
            </w: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Class A Common Stock</w:t>
            </w:r>
          </w:p>
        </w:tc>
        <w:tc>
          <w:tcPr>
            <w:tcW w:w="118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8"/>
                <w:szCs w:val="18"/>
                <w:color w:val="0000FF"/>
                <w:w w:val="97"/>
              </w:rPr>
              <w:t>06/23/2026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4"/>
                <w:szCs w:val="14"/>
                <w:color w:val="0000FF"/>
              </w:rPr>
              <w:t>S</w:t>
            </w:r>
          </w:p>
        </w:tc>
        <w:tc>
          <w:tcPr>
            <w:tcW w:w="8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8"/>
                <w:szCs w:val="18"/>
                <w:color w:val="0000FF"/>
              </w:rPr>
              <w:t>8,845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63.35</w:t>
            </w:r>
            <w:r>
              <w:rPr>
                <w:rFonts w:ascii="Times New Roman" w:cs="Times New Roman" w:eastAsia="Times New Roman" w:hAnsi="Times New Roman"/>
                <w:sz w:val="22"/>
                <w:szCs w:val="22"/>
                <w:color w:val="008000"/>
                <w:w w:val="97"/>
                <w:vertAlign w:val="superscript"/>
              </w:rPr>
              <w:t>(1)</w:t>
            </w:r>
          </w:p>
        </w:tc>
        <w:tc>
          <w:tcPr>
            <w:tcW w:w="1180" w:type="dxa"/>
            <w:vAlign w:val="bottom"/>
            <w:tcBorders>
              <w:bottom w:val="single" w:sz="8" w:color="2C2C2C"/>
            </w:tcBorders>
            <w:gridSpan w:val="2"/>
          </w:tcPr>
          <w:p>
            <w:pPr>
              <w:jc w:val="center"/>
              <w:spacing w:after="0" w:line="324" w:lineRule="exact"/>
              <w:rPr>
                <w:sz w:val="20"/>
                <w:szCs w:val="20"/>
                <w:color w:val="auto"/>
              </w:rPr>
            </w:pPr>
            <w:r>
              <w:rPr>
                <w:rFonts w:ascii="Times New Roman" w:cs="Times New Roman" w:eastAsia="Times New Roman" w:hAnsi="Times New Roman"/>
                <w:sz w:val="35"/>
                <w:szCs w:val="35"/>
                <w:color w:val="0000FF"/>
                <w:w w:val="85"/>
                <w:vertAlign w:val="subscript"/>
              </w:rPr>
              <w:t>13,782</w:t>
            </w:r>
            <w:r>
              <w:rPr>
                <w:rFonts w:ascii="Times New Roman" w:cs="Times New Roman" w:eastAsia="Times New Roman" w:hAnsi="Times New Roman"/>
                <w:sz w:val="11"/>
                <w:szCs w:val="11"/>
                <w:color w:val="008000"/>
                <w:w w:val="85"/>
              </w:rPr>
              <w:t>(2)(3)(4)</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30"/>
              <w:spacing w:after="0"/>
              <w:rPr>
                <w:sz w:val="20"/>
                <w:szCs w:val="20"/>
                <w:color w:val="auto"/>
              </w:rPr>
            </w:pPr>
            <w:r>
              <w:rPr>
                <w:rFonts w:ascii="Times New Roman" w:cs="Times New Roman" w:eastAsia="Times New Roman" w:hAnsi="Times New Roman"/>
                <w:sz w:val="18"/>
                <w:szCs w:val="18"/>
                <w:color w:val="0000FF"/>
                <w:w w:val="91"/>
              </w:rPr>
              <w:t>D</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Class A Common Stock</w:t>
            </w:r>
          </w:p>
        </w:tc>
        <w:tc>
          <w:tcPr>
            <w:tcW w:w="118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8"/>
                <w:szCs w:val="18"/>
                <w:color w:val="0000FF"/>
                <w:w w:val="97"/>
              </w:rPr>
              <w:t>06/24/2026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4"/>
                <w:szCs w:val="14"/>
                <w:color w:val="0000FF"/>
              </w:rPr>
              <w:t>S</w:t>
            </w:r>
          </w:p>
        </w:tc>
        <w:tc>
          <w:tcPr>
            <w:tcW w:w="8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8"/>
                <w:szCs w:val="18"/>
                <w:color w:val="0000FF"/>
              </w:rPr>
              <w:t>8,845</w:t>
            </w:r>
            <w:r>
              <w:rPr>
                <w:rFonts w:ascii="Times New Roman" w:cs="Times New Roman" w:eastAsia="Times New Roman" w:hAnsi="Times New Roman"/>
                <w:sz w:val="22"/>
                <w:szCs w:val="22"/>
                <w:color w:val="008000"/>
                <w:vertAlign w:val="superscript"/>
              </w:rPr>
              <w:t>(5)</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65.26</w:t>
            </w:r>
            <w:r>
              <w:rPr>
                <w:rFonts w:ascii="Times New Roman" w:cs="Times New Roman" w:eastAsia="Times New Roman" w:hAnsi="Times New Roman"/>
                <w:sz w:val="22"/>
                <w:szCs w:val="22"/>
                <w:color w:val="008000"/>
                <w:w w:val="97"/>
                <w:vertAlign w:val="superscript"/>
              </w:rPr>
              <w:t>(5)</w:t>
            </w:r>
          </w:p>
        </w:tc>
        <w:tc>
          <w:tcPr>
            <w:tcW w:w="1180" w:type="dxa"/>
            <w:vAlign w:val="bottom"/>
            <w:tcBorders>
              <w:bottom w:val="single" w:sz="8" w:color="2C2C2C"/>
            </w:tcBorders>
            <w:gridSpan w:val="2"/>
          </w:tcPr>
          <w:p>
            <w:pPr>
              <w:jc w:val="center"/>
              <w:spacing w:after="0" w:line="324" w:lineRule="exact"/>
              <w:rPr>
                <w:sz w:val="20"/>
                <w:szCs w:val="20"/>
                <w:color w:val="auto"/>
              </w:rPr>
            </w:pPr>
            <w:r>
              <w:rPr>
                <w:rFonts w:ascii="Times New Roman" w:cs="Times New Roman" w:eastAsia="Times New Roman" w:hAnsi="Times New Roman"/>
                <w:sz w:val="35"/>
                <w:szCs w:val="35"/>
                <w:color w:val="0000FF"/>
                <w:w w:val="85"/>
                <w:vertAlign w:val="subscript"/>
              </w:rPr>
              <w:t>4,937</w:t>
            </w:r>
            <w:r>
              <w:rPr>
                <w:rFonts w:ascii="Times New Roman" w:cs="Times New Roman" w:eastAsia="Times New Roman" w:hAnsi="Times New Roman"/>
                <w:sz w:val="11"/>
                <w:szCs w:val="11"/>
                <w:color w:val="008000"/>
                <w:w w:val="85"/>
              </w:rPr>
              <w:t>(2)(3)(4)</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30"/>
              <w:spacing w:after="0"/>
              <w:rPr>
                <w:sz w:val="20"/>
                <w:szCs w:val="20"/>
                <w:color w:val="auto"/>
              </w:rPr>
            </w:pPr>
            <w:r>
              <w:rPr>
                <w:rFonts w:ascii="Times New Roman" w:cs="Times New Roman" w:eastAsia="Times New Roman" w:hAnsi="Times New Roman"/>
                <w:sz w:val="18"/>
                <w:szCs w:val="18"/>
                <w:color w:val="0000FF"/>
                <w:w w:val="91"/>
              </w:rPr>
              <w:t>D</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Class A Common Stock</w:t>
            </w: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vMerge w:val="restart"/>
          </w:tcPr>
          <w:p>
            <w:pPr>
              <w:jc w:val="center"/>
              <w:ind w:left="457"/>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color w:val="0000FF"/>
                <w:w w:val="99"/>
              </w:rPr>
              <w:t>I</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2"/>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gridSpan w:val="3"/>
            <w:vMerge w:val="continue"/>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040" w:type="dxa"/>
            <w:vAlign w:val="bottom"/>
            <w:gridSpan w:val="4"/>
          </w:tcPr>
          <w:p>
            <w:pPr>
              <w:ind w:left="60"/>
              <w:spacing w:after="0" w:line="223" w:lineRule="exact"/>
              <w:rPr>
                <w:sz w:val="20"/>
                <w:szCs w:val="20"/>
                <w:color w:val="auto"/>
              </w:rPr>
            </w:pPr>
            <w:r>
              <w:rPr>
                <w:rFonts w:ascii="Times New Roman" w:cs="Times New Roman" w:eastAsia="Times New Roman" w:hAnsi="Times New Roman"/>
                <w:sz w:val="18"/>
                <w:szCs w:val="18"/>
                <w:color w:val="0000FF"/>
              </w:rPr>
              <w:t>footnotes</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(7)</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280" w:type="dxa"/>
            <w:vAlign w:val="bottom"/>
            <w:tcBorders>
              <w:bottom w:val="single" w:sz="8" w:color="2C2C2C"/>
            </w:tcBorders>
            <w:gridSpan w:val="2"/>
          </w:tcPr>
          <w:p>
            <w:pPr>
              <w:spacing w:after="0"/>
              <w:rPr>
                <w:sz w:val="7"/>
                <w:szCs w:val="7"/>
                <w:color w:val="auto"/>
              </w:rPr>
            </w:pPr>
          </w:p>
        </w:tc>
        <w:tc>
          <w:tcPr>
            <w:tcW w:w="1320" w:type="dxa"/>
            <w:vAlign w:val="bottom"/>
            <w:tcBorders>
              <w:bottom w:val="single" w:sz="8" w:color="2C2C2C"/>
            </w:tcBorders>
            <w:gridSpan w:val="3"/>
          </w:tcPr>
          <w:p>
            <w:pPr>
              <w:spacing w:after="0"/>
              <w:rPr>
                <w:sz w:val="7"/>
                <w:szCs w:val="7"/>
                <w:color w:val="auto"/>
              </w:rPr>
            </w:pPr>
          </w:p>
        </w:tc>
        <w:tc>
          <w:tcPr>
            <w:tcW w:w="4060" w:type="dxa"/>
            <w:vAlign w:val="bottom"/>
            <w:tcBorders>
              <w:bottom w:val="single" w:sz="8" w:color="2C2C2C"/>
            </w:tcBorders>
            <w:gridSpan w:val="8"/>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3"/>
          </w:tcPr>
          <w:p>
            <w:pPr>
              <w:ind w:left="86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340" w:type="dxa"/>
            <w:vAlign w:val="bottom"/>
            <w:gridSpan w:val="10"/>
          </w:tcPr>
          <w:p>
            <w:pPr>
              <w:ind w:left="4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4"/>
                <w:szCs w:val="14"/>
                <w:color w:val="auto"/>
              </w:rPr>
            </w:pPr>
          </w:p>
        </w:tc>
        <w:tc>
          <w:tcPr>
            <w:tcW w:w="1660" w:type="dxa"/>
            <w:vAlign w:val="bottom"/>
            <w:gridSpan w:val="2"/>
          </w:tcPr>
          <w:p>
            <w:pPr>
              <w:ind w:left="2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Transaction</w:t>
            </w:r>
          </w:p>
        </w:tc>
        <w:tc>
          <w:tcPr>
            <w:tcW w:w="5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Number</w:t>
            </w:r>
          </w:p>
        </w:tc>
        <w:tc>
          <w:tcPr>
            <w:tcW w:w="1660" w:type="dxa"/>
            <w:vAlign w:val="bottom"/>
            <w:gridSpan w:val="2"/>
          </w:tcPr>
          <w:p>
            <w:pPr>
              <w:ind w:left="24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5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24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2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1360" w:type="dxa"/>
            <w:vAlign w:val="bottom"/>
            <w:gridSpan w:val="3"/>
          </w:tcPr>
          <w:p>
            <w:pPr>
              <w:ind w:left="80"/>
              <w:spacing w:after="0" w:line="136"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80"/>
              <w:spacing w:after="0" w:line="136"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80"/>
              <w:spacing w:after="0" w:line="136"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80"/>
              <w:spacing w:after="0" w:line="136"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80"/>
              <w:spacing w:after="0" w:line="136"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Date</w:t>
            </w:r>
          </w:p>
        </w:tc>
        <w:tc>
          <w:tcPr>
            <w:tcW w:w="8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(A)   (D)   Exercisable  Date</w:t>
            </w:r>
          </w:p>
        </w:tc>
        <w:tc>
          <w:tcPr>
            <w:tcW w:w="440" w:type="dxa"/>
            <w:vAlign w:val="bottom"/>
            <w:vMerge w:val="continue"/>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40" w:right="160" w:firstLine="9"/>
        <w:spacing w:after="0" w:line="234" w:lineRule="auto"/>
        <w:tabs>
          <w:tab w:leader="none" w:pos="176"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On June 23, 2026, the Reporting Person sold 8,845 shares of Class A Common Stock. These shares were sold at a weighted average price of $63.35. These shares were sold in multiple transactions at prices ranging from $62.80 to $63.75.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30" w:lineRule="exact"/>
        <w:rPr>
          <w:rFonts w:ascii="Times New Roman" w:cs="Times New Roman" w:eastAsia="Times New Roman" w:hAnsi="Times New Roman"/>
          <w:sz w:val="14"/>
          <w:szCs w:val="14"/>
          <w:color w:val="008000"/>
        </w:rPr>
      </w:pPr>
    </w:p>
    <w:p>
      <w:pPr>
        <w:ind w:left="40" w:right="260" w:firstLine="9"/>
        <w:spacing w:after="0" w:line="234" w:lineRule="auto"/>
        <w:tabs>
          <w:tab w:leader="none" w:pos="176"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an award of 3,046 restricted stock units ("RSUs") granted pursuant to the Issuer's non-employee director compensation program. The RSUs will vest in full on September 15, 2027, subject to the Reporting Person's continued service on the Issuer's board of directors through such vesting date. Each RSU represents a contingent right to receive one share of the Issuer's Class A Common Stock.</w:t>
      </w:r>
    </w:p>
    <w:p>
      <w:pPr>
        <w:spacing w:after="0" w:line="30" w:lineRule="exact"/>
        <w:rPr>
          <w:rFonts w:ascii="Times New Roman" w:cs="Times New Roman" w:eastAsia="Times New Roman" w:hAnsi="Times New Roman"/>
          <w:sz w:val="14"/>
          <w:szCs w:val="14"/>
          <w:color w:val="008000"/>
        </w:rPr>
      </w:pPr>
    </w:p>
    <w:p>
      <w:pPr>
        <w:ind w:left="40" w:right="220" w:firstLine="9"/>
        <w:spacing w:after="0" w:line="242" w:lineRule="auto"/>
        <w:tabs>
          <w:tab w:leader="none" w:pos="176"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an award of 1,891 RSUs granted pursuant to the Issuer's non-employee director compensation program. The RSUs will vest in full on September 15, 2026, subject to the Reporting Person's continued service on the Issuer's board of directors through such vesting date. Each RSU represents a contingent right to receive one share of the Issuer's Class A Common Stock</w:t>
      </w:r>
    </w:p>
    <w:p>
      <w:pPr>
        <w:spacing w:after="0" w:line="27" w:lineRule="exact"/>
        <w:rPr>
          <w:rFonts w:ascii="Times New Roman" w:cs="Times New Roman" w:eastAsia="Times New Roman" w:hAnsi="Times New Roman"/>
          <w:sz w:val="14"/>
          <w:szCs w:val="14"/>
          <w:color w:val="008000"/>
        </w:rPr>
      </w:pPr>
    </w:p>
    <w:p>
      <w:pPr>
        <w:ind w:left="40" w:right="280" w:firstLine="9"/>
        <w:spacing w:after="0" w:line="242" w:lineRule="auto"/>
        <w:tabs>
          <w:tab w:leader="none" w:pos="173"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Reporting Person has agreed to assign to Deer Management Co. LLC ("DMC") the right to any RSUs or Class A Common Stock issuable pursuant to these grants or any proceeds from the sale thereof.</w:t>
      </w:r>
    </w:p>
    <w:p>
      <w:pPr>
        <w:spacing w:after="0" w:line="27" w:lineRule="exact"/>
        <w:rPr>
          <w:rFonts w:ascii="Times New Roman" w:cs="Times New Roman" w:eastAsia="Times New Roman" w:hAnsi="Times New Roman"/>
          <w:sz w:val="14"/>
          <w:szCs w:val="14"/>
          <w:color w:val="008000"/>
        </w:rPr>
      </w:pPr>
    </w:p>
    <w:p>
      <w:pPr>
        <w:ind w:left="40" w:right="160" w:firstLine="9"/>
        <w:spacing w:after="0" w:line="323" w:lineRule="auto"/>
        <w:tabs>
          <w:tab w:leader="none" w:pos="17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June 24, 2026, the Reporting Person sold 8,845 shares of Class A Common Stock. These shares were sold at a weighted average price of $65.26. These shares were sold in multiple transactions at prices ranging from $65.11 to $65.63. The reporting person undertakes to provide to the Issuer, any security holder of the Issuer, or the staff of the Securities and Exchange Commission, upon request,</w:t>
      </w:r>
    </w:p>
    <w:p>
      <w:pPr>
        <w:sectPr>
          <w:pgSz w:w="11920" w:h="16838" w:orient="portrait"/>
          <w:cols w:equalWidth="0" w:num="1">
            <w:col w:w="11100"/>
          </w:cols>
          <w:pgMar w:left="460" w:top="215" w:right="358"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color w:val="008000"/>
        </w:rPr>
        <w:t>full information regarding the number of shares sold at each separate price within the ranges set forth in this footnote.</w:t>
      </w:r>
    </w:p>
    <w:p>
      <w:pPr>
        <w:spacing w:after="0" w:line="42" w:lineRule="exact"/>
        <w:rPr>
          <w:sz w:val="20"/>
          <w:szCs w:val="20"/>
          <w:color w:val="auto"/>
        </w:rPr>
      </w:pPr>
    </w:p>
    <w:p>
      <w:pPr>
        <w:ind w:right="20" w:firstLine="9"/>
        <w:spacing w:after="0" w:line="242" w:lineRule="auto"/>
        <w:tabs>
          <w:tab w:leader="none" w:pos="136"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Bessemer Venture Partners VIII L.P. ("BVP VIII"), Bessemer Venture Partners VIII Institutional L.P. ("BVP VIII Inst") and 15 Angels II LLC ("15 Angels" and together with BVP VIII and BVP VIII Inst, the "Bessemer Funds"), own 2,369,286 shares, 2,849,411 shares, and 127,260 shares of Class A Common Stock, respectively.</w:t>
      </w:r>
    </w:p>
    <w:p>
      <w:pPr>
        <w:spacing w:after="0" w:line="27" w:lineRule="exact"/>
        <w:rPr>
          <w:rFonts w:ascii="Times New Roman" w:cs="Times New Roman" w:eastAsia="Times New Roman" w:hAnsi="Times New Roman"/>
          <w:sz w:val="14"/>
          <w:szCs w:val="14"/>
          <w:color w:val="008000"/>
        </w:rPr>
      </w:pPr>
    </w:p>
    <w:p>
      <w:pPr>
        <w:ind w:firstLine="9"/>
        <w:spacing w:after="0" w:line="231" w:lineRule="auto"/>
        <w:tabs>
          <w:tab w:leader="none" w:pos="133"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Reporting Person is a partner at Bessemer Venture Partners and has an indirect, passive economic interest in the shares held by the Bessemer Funds by virtue of his interest in (1) Deer VIII &amp; Co. L.P., the general partner of the Bessemer Funds and (2) certain other indirect limited partnership interests in certain of the Bessemer Funds. The Reporting Person disclaims beneficial ownership of the securities held by the Bessemer Funds, except to the extent of his pecuniary interest, if any, in such securities by virtue of his indirect interest in the Bessemer Funds. This report shall not be deemed an admission that the Reporting Person is the beneficial owner of such securities.</w:t>
      </w:r>
    </w:p>
    <w:p>
      <w:pPr>
        <w:spacing w:after="0" w:line="40" w:lineRule="exact"/>
        <w:rPr>
          <w:sz w:val="20"/>
          <w:szCs w:val="20"/>
          <w:color w:val="auto"/>
        </w:rPr>
      </w:pPr>
    </w:p>
    <w:tbl>
      <w:tblPr>
        <w:tblLayout w:type="fixed"/>
        <w:tblInd w:w="6560" w:type="dxa"/>
        <w:tblCellMar>
          <w:top w:w="0" w:type="dxa"/>
          <w:left w:w="0" w:type="dxa"/>
          <w:bottom w:w="0" w:type="dxa"/>
          <w:right w:w="0" w:type="dxa"/>
        </w:tblCellMar>
      </w:tblPr>
      <w:tr>
        <w:trPr>
          <w:trHeight w:val="207"/>
        </w:trPr>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 Augie Wilkinson,</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06/25/2026</w:t>
            </w:r>
          </w:p>
        </w:tc>
        <w:tc>
          <w:tcPr>
            <w:tcW w:w="0" w:type="dxa"/>
            <w:vAlign w:val="bottom"/>
          </w:tcPr>
          <w:p>
            <w:pPr>
              <w:spacing w:after="0"/>
              <w:rPr>
                <w:sz w:val="1"/>
                <w:szCs w:val="1"/>
                <w:color w:val="auto"/>
              </w:rPr>
            </w:pPr>
          </w:p>
        </w:tc>
      </w:tr>
      <w:tr>
        <w:trPr>
          <w:trHeight w:val="88"/>
        </w:trPr>
        <w:tc>
          <w:tcPr>
            <w:tcW w:w="1440" w:type="dxa"/>
            <w:vAlign w:val="bottom"/>
            <w:tcBorders>
              <w:top w:val="single" w:sz="8" w:color="auto"/>
            </w:tcBorders>
            <w:gridSpan w:val="2"/>
            <w:vMerge w:val="restart"/>
          </w:tcPr>
          <w:p>
            <w:pPr>
              <w:spacing w:after="0" w:line="197" w:lineRule="exact"/>
              <w:rPr>
                <w:sz w:val="20"/>
                <w:szCs w:val="20"/>
                <w:color w:val="auto"/>
              </w:rPr>
            </w:pPr>
            <w:r>
              <w:rPr>
                <w:rFonts w:ascii="Times New Roman" w:cs="Times New Roman" w:eastAsia="Times New Roman" w:hAnsi="Times New Roman"/>
                <w:sz w:val="18"/>
                <w:szCs w:val="18"/>
                <w:color w:val="0000FF"/>
              </w:rPr>
              <w:t>Attorney-in-Fact</w:t>
            </w:r>
          </w:p>
        </w:tc>
        <w:tc>
          <w:tcPr>
            <w:tcW w:w="380" w:type="dxa"/>
            <w:vAlign w:val="bottom"/>
            <w:vMerge w:val="restart"/>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440" w:type="dxa"/>
            <w:vAlign w:val="bottom"/>
            <w:tcBorders>
              <w:top w:val="single" w:sz="8" w:color="auto"/>
            </w:tcBorders>
            <w:gridSpan w:val="2"/>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080" w:firstLine="9"/>
        <w:spacing w:after="0" w:line="351"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20" w:h="16838" w:orient="portrait"/>
      <w:cols w:equalWidth="0" w:num="1">
        <w:col w:w="10900"/>
      </w:cols>
      <w:pgMar w:left="500" w:top="122" w:right="51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06450" TargetMode="External"/><Relationship Id="rId14" Type="http://schemas.openxmlformats.org/officeDocument/2006/relationships/hyperlink" Target="http://www.sec.gov/cgi-bin/browse-edgar?action=getcompany&amp;CIK=00016388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2026-06-25T15:33:03Z</dcterms:created>
  <dcterms:modified xsi:type="dcterms:W3CDTF">2026-06-25T15:33:03Z</dcterms:modified>
</cp:coreProperties>
</file>