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00"/>
          </w:cols>
          <w:pgMar w:left="460" w:top="219" w:right="459" w:bottom="81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Griffith William J.G.</w:t>
              </w:r>
            </w:hyperlink>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4"/>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ServiceTitan,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TTAN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gridSpan w:val="3"/>
            <w:vMerge w:val="continue"/>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top w:val="single" w:sz="8" w:color="EEEEEE"/>
            </w:tcBorders>
          </w:tcPr>
          <w:p>
            <w:pPr>
              <w:spacing w:after="0"/>
              <w:rPr>
                <w:sz w:val="4"/>
                <w:szCs w:val="4"/>
                <w:color w:val="auto"/>
              </w:rPr>
            </w:pPr>
          </w:p>
        </w:tc>
        <w:tc>
          <w:tcPr>
            <w:tcW w:w="700" w:type="dxa"/>
            <w:vAlign w:val="bottom"/>
            <w:tcBorders>
              <w:top w:val="single" w:sz="8" w:color="EEEEEE"/>
            </w:tcBorders>
          </w:tcPr>
          <w:p>
            <w:pPr>
              <w:spacing w:after="0"/>
              <w:rPr>
                <w:sz w:val="4"/>
                <w:szCs w:val="4"/>
                <w:color w:val="auto"/>
              </w:rPr>
            </w:pPr>
          </w:p>
        </w:tc>
        <w:tc>
          <w:tcPr>
            <w:tcW w:w="180" w:type="dxa"/>
            <w:vAlign w:val="bottom"/>
            <w:tcBorders>
              <w:top w:val="single" w:sz="8" w:color="EEEEEE"/>
            </w:tcBorders>
          </w:tcPr>
          <w:p>
            <w:pPr>
              <w:spacing w:after="0"/>
              <w:rPr>
                <w:sz w:val="4"/>
                <w:szCs w:val="4"/>
                <w:color w:val="auto"/>
              </w:rPr>
            </w:pPr>
          </w:p>
        </w:tc>
        <w:tc>
          <w:tcPr>
            <w:tcW w:w="16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60" w:type="dxa"/>
            <w:vAlign w:val="bottom"/>
          </w:tcPr>
          <w:p>
            <w:pPr>
              <w:ind w:left="4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ind w:left="140"/>
              <w:spacing w:after="0"/>
              <w:rPr>
                <w:sz w:val="20"/>
                <w:szCs w:val="20"/>
                <w:color w:val="auto"/>
              </w:rPr>
            </w:pPr>
            <w:r>
              <w:rPr>
                <w:rFonts w:ascii="Arial" w:cs="Arial" w:eastAsia="Arial" w:hAnsi="Arial"/>
                <w:sz w:val="13"/>
                <w:szCs w:val="13"/>
                <w:color w:val="auto"/>
              </w:rPr>
              <w:t>below)</w:t>
            </w:r>
          </w:p>
        </w:tc>
        <w:tc>
          <w:tcPr>
            <w:tcW w:w="960" w:type="dxa"/>
            <w:vAlign w:val="bottom"/>
          </w:tcPr>
          <w:p>
            <w:pPr>
              <w:ind w:left="5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ICONIQ CAPITAL</w:t>
            </w:r>
          </w:p>
        </w:tc>
        <w:tc>
          <w:tcPr>
            <w:tcW w:w="1660" w:type="dxa"/>
            <w:vAlign w:val="bottom"/>
          </w:tcPr>
          <w:p>
            <w:pPr>
              <w:spacing w:after="0"/>
              <w:rPr>
                <w:sz w:val="19"/>
                <w:szCs w:val="19"/>
                <w:color w:val="auto"/>
              </w:rPr>
            </w:pPr>
          </w:p>
        </w:tc>
        <w:tc>
          <w:tcPr>
            <w:tcW w:w="1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80" w:type="dxa"/>
            <w:vAlign w:val="bottom"/>
            <w:gridSpan w:val="3"/>
            <w:vMerge w:val="continue"/>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50 BEALE ST., STE. 2300</w:t>
            </w: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6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13"/>
                <w:szCs w:val="13"/>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6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94105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880" w:type="dxa"/>
            <w:vAlign w:val="bottom"/>
            <w:gridSpan w:val="2"/>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tcPr>
          <w:p>
            <w:pPr>
              <w:ind w:left="4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4"/>
          </w:tcPr>
          <w:p>
            <w:pPr>
              <w:ind w:left="1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11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80" w:type="dxa"/>
            <w:vAlign w:val="bottom"/>
            <w:gridSpan w:val="4"/>
          </w:tcPr>
          <w:p>
            <w:pPr>
              <w:ind w:left="1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1220"/>
              <w:spacing w:after="0"/>
              <w:rPr>
                <w:sz w:val="20"/>
                <w:szCs w:val="20"/>
                <w:color w:val="auto"/>
              </w:rPr>
            </w:pPr>
            <w:r>
              <w:rPr>
                <w:rFonts w:ascii="Times New Roman" w:cs="Times New Roman" w:eastAsia="Times New Roman" w:hAnsi="Times New Roman"/>
                <w:sz w:val="17"/>
                <w:szCs w:val="17"/>
                <w:color w:val="0000FF"/>
              </w:rPr>
              <w:t>06/17/2026</w:t>
            </w:r>
          </w:p>
        </w:tc>
        <w:tc>
          <w:tcPr>
            <w:tcW w:w="1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3,046</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360,970</w:t>
            </w:r>
          </w:p>
        </w:tc>
        <w:tc>
          <w:tcPr>
            <w:tcW w:w="960" w:type="dxa"/>
            <w:vAlign w:val="bottom"/>
            <w:tcBorders>
              <w:bottom w:val="single" w:sz="8" w:color="2C2C2C"/>
            </w:tcBorders>
          </w:tcPr>
          <w:p>
            <w:pPr>
              <w:jc w:val="center"/>
              <w:ind w:right="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ICONIQ</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3,603,256</w:t>
            </w:r>
          </w:p>
        </w:tc>
        <w:tc>
          <w:tcPr>
            <w:tcW w:w="96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(3)(4)</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Strategic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II,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ICONIQ</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2,820,790</w:t>
            </w:r>
          </w:p>
        </w:tc>
        <w:tc>
          <w:tcPr>
            <w:tcW w:w="96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96"/>
                <w:vertAlign w:val="subscript"/>
              </w:rPr>
              <w:t>I</w:t>
            </w:r>
            <w:r>
              <w:rPr>
                <w:rFonts w:ascii="Times New Roman" w:cs="Times New Roman" w:eastAsia="Times New Roman" w:hAnsi="Times New Roman"/>
                <w:sz w:val="11"/>
                <w:szCs w:val="11"/>
                <w:color w:val="008000"/>
                <w:w w:val="96"/>
              </w:rPr>
              <w:t>(3)(4)</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Strategic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gridSpan w:val="4"/>
            <w:vMerge w:val="continue"/>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II-B,</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ICONIQ</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Strategic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1,484,219</w:t>
            </w:r>
          </w:p>
        </w:tc>
        <w:tc>
          <w:tcPr>
            <w:tcW w:w="96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96"/>
                <w:vertAlign w:val="subscript"/>
              </w:rPr>
              <w:t>I</w:t>
            </w:r>
            <w:r>
              <w:rPr>
                <w:rFonts w:ascii="Times New Roman" w:cs="Times New Roman" w:eastAsia="Times New Roman" w:hAnsi="Times New Roman"/>
                <w:sz w:val="11"/>
                <w:szCs w:val="11"/>
                <w:color w:val="008000"/>
                <w:w w:val="96"/>
              </w:rPr>
              <w:t>(3)(4)</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gridSpan w:val="4"/>
            <w:vMerge w:val="continue"/>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II Co-</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Invest,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L.P. (ST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Series)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ICONIQ</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Strategic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605,872</w:t>
            </w:r>
          </w:p>
        </w:tc>
        <w:tc>
          <w:tcPr>
            <w:tcW w:w="96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96"/>
                <w:vertAlign w:val="subscript"/>
              </w:rPr>
              <w:t>I</w:t>
            </w:r>
            <w:r>
              <w:rPr>
                <w:rFonts w:ascii="Times New Roman" w:cs="Times New Roman" w:eastAsia="Times New Roman" w:hAnsi="Times New Roman"/>
                <w:sz w:val="11"/>
                <w:szCs w:val="11"/>
                <w:color w:val="008000"/>
                <w:w w:val="96"/>
              </w:rPr>
              <w:t>(3)(4)</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gridSpan w:val="4"/>
            <w:vMerge w:val="continue"/>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II Co-</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Invest,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L.P. (ST-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 Series)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ICONIQ</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735,893</w:t>
            </w:r>
          </w:p>
        </w:tc>
        <w:tc>
          <w:tcPr>
            <w:tcW w:w="96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(3)(4)</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Strategic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III, L.P.</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6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9" w:right="459" w:bottom="810" w:gutter="0" w:footer="0" w:header="0"/>
          <w:type w:val="continuous"/>
        </w:sectPr>
      </w:pPr>
    </w:p>
    <w:bookmarkStart w:id="1" w:name="page2"/>
    <w:bookmarkEnd w:id="1"/>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7865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786511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ICONIQ</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786,307</w:t>
            </w:r>
          </w:p>
        </w:tc>
        <w:tc>
          <w:tcPr>
            <w:tcW w:w="940" w:type="dxa"/>
            <w:vAlign w:val="bottom"/>
            <w:vMerge w:val="restart"/>
          </w:tcPr>
          <w:p>
            <w:pPr>
              <w:ind w:left="32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(3)(4)</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Strategic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8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III-B,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ICONIQ</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483,635</w:t>
            </w:r>
          </w:p>
        </w:tc>
        <w:tc>
          <w:tcPr>
            <w:tcW w:w="940" w:type="dxa"/>
            <w:vAlign w:val="bottom"/>
          </w:tcPr>
          <w:p>
            <w:pPr>
              <w:ind w:left="32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(3)(4)</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Strategic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V, L.P.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ICONIQ</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648,606</w:t>
            </w:r>
          </w:p>
        </w:tc>
        <w:tc>
          <w:tcPr>
            <w:tcW w:w="940" w:type="dxa"/>
            <w:vAlign w:val="bottom"/>
            <w:vMerge w:val="restart"/>
          </w:tcPr>
          <w:p>
            <w:pPr>
              <w:ind w:left="32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(3)(4)</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Strategic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8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V-B,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ICONIQ</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Strategic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247,163</w:t>
            </w:r>
          </w:p>
        </w:tc>
        <w:tc>
          <w:tcPr>
            <w:tcW w:w="940" w:type="dxa"/>
            <w:vAlign w:val="bottom"/>
          </w:tcPr>
          <w:p>
            <w:pPr>
              <w:ind w:left="32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(3)(4)</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V Co-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Invest,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(Series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ICONIQ</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Strategic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111,891</w:t>
            </w:r>
          </w:p>
        </w:tc>
        <w:tc>
          <w:tcPr>
            <w:tcW w:w="940" w:type="dxa"/>
            <w:vAlign w:val="bottom"/>
          </w:tcPr>
          <w:p>
            <w:pPr>
              <w:ind w:left="32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(3)(4)</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V Co-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Invest,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(Series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granted pursuant to the Issuer's non-employee director compensation program. The RSUs will vest in full on September 15, 2027, subject to the Reporting Person's continued service on the Issuer's board of directors through such vesting date. Each RSU represents a contingent right to receive one share of the Issuer's Class A Common Stock.</w:t>
      </w:r>
    </w:p>
    <w:p>
      <w:pPr>
        <w:spacing w:after="0" w:line="7" w:lineRule="exact"/>
        <w:rPr>
          <w:rFonts w:ascii="Times New Roman" w:cs="Times New Roman" w:eastAsia="Times New Roman" w:hAnsi="Times New Roman"/>
          <w:sz w:val="13"/>
          <w:szCs w:val="13"/>
          <w:color w:val="008000"/>
        </w:rPr>
      </w:pPr>
    </w:p>
    <w:p>
      <w:pPr>
        <w:ind w:left="40" w:right="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3,046 shares issuable upon the settlement of RSUs and (ii) 357,924 shares held by the Reporting Person through his family trust of which he is a trustee and another estate planning trust having an independent trustee. The RSUs are held by the Reporting Person, a director of the Issuer. The proceeds of any sale of shares of common stock issued to the Reporting Person upon settlement of the RSUs will be transferred to ICONIQ Capital, LLC. The Reporting Person disclaims beneficial ownership of these shares for purposes of Section 16 of the Securities Exchange Act of 1934, as amended (the "Exchange Act"), except to the extent of his pecuniary interest therein, if any. This report shall not be deemed an admission that the Reporting Person is a beneficial owner of such securities for the purpose of Section 16 of the Exchange Act, or for any other purpose.</w:t>
      </w:r>
    </w:p>
    <w:p>
      <w:pPr>
        <w:spacing w:after="0" w:line="26" w:lineRule="exact"/>
        <w:rPr>
          <w:rFonts w:ascii="Times New Roman" w:cs="Times New Roman" w:eastAsia="Times New Roman" w:hAnsi="Times New Roman"/>
          <w:sz w:val="13"/>
          <w:szCs w:val="13"/>
          <w:color w:val="008000"/>
        </w:rPr>
      </w:pPr>
    </w:p>
    <w:p>
      <w:pPr>
        <w:ind w:left="40" w:right="1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ICONIQ Strategic Partners II GP, L.P. ("ICONIQ II GP") is the sole general partner of ICONIQ Strategic Partners II, L.P. ("ICONIQ II"), ICONIQ Strategic Partners II-B, L.P. ("ICONIQ II-B"), ICONIQ Strategic Partners II Co-Invest, L.P. (ST Series) ("ICONIQ II ST") and ICONIQ Strategic Partners II Co-Invest, L.P. (ST-2 Series) ("ICONIQ II ST2"). ICONIQ Strategic Partners II TT GP, Ltd. ("ICONIQ II Parent GP") is the sole general partner of ICONIQ II GP. ICONIQ Strategic Partners III GP, L.P. ("ICONIQ III GP") is the sole general partner of ICONIQ Strategic Partners III, L.P. ("ICONIQ III") and ICONIQ Strategic Partners III-B, L.P. ("ICONIQ III-B"). ICONIQ Strategic Partners III TT GP, Ltd. ("ICONIQ III Parent GP") is the sole general partner of ICONIQ III GP. ICONIQ Strategic Partners V GP, L.P. ("ICONIQ V GP") is the sole general partner of ICONIQ Strategic Partners V, L.P. ("ICONIQ V"), ICONIQ Strategic Partners V-B, L.P. ("ICONIQ V-B"),</w:t>
      </w:r>
    </w:p>
    <w:p>
      <w:pPr>
        <w:spacing w:after="0" w:line="26" w:lineRule="exact"/>
        <w:rPr>
          <w:rFonts w:ascii="Times New Roman" w:cs="Times New Roman" w:eastAsia="Times New Roman" w:hAnsi="Times New Roman"/>
          <w:sz w:val="13"/>
          <w:szCs w:val="13"/>
          <w:color w:val="008000"/>
        </w:rPr>
      </w:pPr>
    </w:p>
    <w:p>
      <w:pPr>
        <w:jc w:val="both"/>
        <w:ind w:left="40" w:right="14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ICONIQ Strategic Partners V Co-Invest, L.P. (Series ST) ("ICONIQ V ST") and ICONIQ Strategic Partners V Co-Invest, L.P. (Series ST2) ("ICONIQ V ST2"). ICONIQ Strategic Partners V TT GP, Ltd. ("ICONIQ V Parent GP") is the sole general partner of ICONIQ V GP. Divesh Makan and the Reporting Person are the sole equity holders of ICONIQ II Parent GP and ICONIQ III Parent GP and Divesh Makan, the Reporting Person and Matthew Jacobson are the sole equity holders of ICONIQ V Parent GP. The Reporting Person disclaims beneficial ownership of the securities reported herein for purposes of Section 16 of the Exchange Act, except to the extent of his pecuniary interest therein, if any. This report shall not be deemed an admission that the Reporting Person is a beneficial owner of such securities for the purpose of Section 16 of the Exchange Act, or for any other purpose.</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William J.G. Griffith</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06/18/2026</w:t>
            </w:r>
          </w:p>
        </w:tc>
      </w:tr>
      <w:tr>
        <w:trPr>
          <w:trHeight w:val="20"/>
        </w:trPr>
        <w:tc>
          <w:tcPr>
            <w:tcW w:w="65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905" w:orient="portrait"/>
          <w:cols w:equalWidth="0" w:num="1">
            <w:col w:w="11000"/>
          </w:cols>
          <w:pgMar w:left="460" w:top="191" w:right="439" w:bottom="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3"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8124" TargetMode="External"/><Relationship Id="rId14" Type="http://schemas.openxmlformats.org/officeDocument/2006/relationships/hyperlink" Target="http://www.sec.gov/cgi-bin/browse-edgar?action=getcompany&amp;CIK=00016388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2026-06-18T16:22:04Z</dcterms:created>
  <dcterms:modified xsi:type="dcterms:W3CDTF">2026-06-18T16:22:04Z</dcterms:modified>
</cp:coreProperties>
</file>