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Deeter Byron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BESSEMER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1865 PALMER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LARCHMONT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616"/>
        <w:gridCol w:w="1163"/>
        <w:gridCol w:w="996"/>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22,627</w:t>
            </w:r>
            <w:r>
              <w:rPr>
                <w:rFonts w:ascii="Times;serif" w:hAnsi="Times;serif"/>
                <w:color w:val="008000"/>
                <w:position w:val="7"/>
                <w:sz w:val="16"/>
                <w:sz w:val="20"/>
                <w:shd w:fill="FFFFFF" w:val="clear"/>
              </w:rPr>
              <w:t>(1)(2)</w:t>
            </w:r>
            <w:r>
              <w:rPr/>
              <w:t xml:space="preserve"> </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award of 1,891 RSUs granted pursuant to the Issuer's non-employee director compensation program. The RSUs will vest in full on September 15, 2026,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has agreed to assign to Deer Management Co. LLC ("DMC") the right to any RSUs or Class A Common Stock issuable pursuant to these grants or any proceeds from the sale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Bessemer Venture Partners VIII L.P. ("BVP VIII"), Bessemer Venture Partners VIII Institutional L.P. ("BVP VIII Inst") and 15 Angels II LLC ("15 Angels" and together with BVP VIII and BVP VIII Inst, the "Bessemer Funds"), own 2,369,286 shares, 2,849,411 shares, and 127,260 shares of Class A Common Stock,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a partner at Bessemer Venture Partners and has an indirect, passive economic interest in the shares held by the Bessemer Funds by virtue of his interest in (1) Deer VIII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Augie Wilkinson,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6450"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894</Words>
  <Characters>4776</Characters>
  <CharactersWithSpaces>5606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