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47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470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Sherry David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SERVICETITAN,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800 N. BRAND BLVD.,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ServiceTitan,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TTAN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GLENDALE</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91203</w:t>
            </w: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3"/>
          </w:tcPr>
          <w:p>
            <w:pPr>
              <w:jc w:val="center"/>
              <w:ind w:left="50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05"/>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4,070.53</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66.19</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414,154.72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05"/>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5,502.63</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66.19</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408,652.09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05"/>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6,151.72</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66.19</w:t>
            </w:r>
            <w:r>
              <w:rPr>
                <w:rFonts w:ascii="Times New Roman" w:cs="Times New Roman" w:eastAsia="Times New Roman" w:hAnsi="Times New Roman"/>
                <w:sz w:val="22"/>
                <w:szCs w:val="22"/>
                <w:color w:val="008000"/>
                <w:vertAlign w:val="superscript"/>
              </w:rPr>
              <w:t>(4)</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402,500.37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05"/>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3,232.2</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66.19</w:t>
            </w:r>
            <w:r>
              <w:rPr>
                <w:rFonts w:ascii="Times New Roman" w:cs="Times New Roman" w:eastAsia="Times New Roman" w:hAnsi="Times New Roman"/>
                <w:sz w:val="22"/>
                <w:szCs w:val="22"/>
                <w:color w:val="008000"/>
                <w:vertAlign w:val="superscript"/>
              </w:rPr>
              <w:t>(5)</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399,268.17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05"/>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1,028.17</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66.19</w:t>
            </w:r>
            <w:r>
              <w:rPr>
                <w:rFonts w:ascii="Times New Roman" w:cs="Times New Roman" w:eastAsia="Times New Roman" w:hAnsi="Times New Roman"/>
                <w:sz w:val="22"/>
                <w:szCs w:val="22"/>
                <w:color w:val="008000"/>
                <w:vertAlign w:val="superscript"/>
              </w:rPr>
              <w:t>(6)</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398,240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05"/>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207.25</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66.19</w:t>
            </w:r>
            <w:r>
              <w:rPr>
                <w:rFonts w:ascii="Times New Roman" w:cs="Times New Roman" w:eastAsia="Times New Roman" w:hAnsi="Times New Roman"/>
                <w:sz w:val="22"/>
                <w:szCs w:val="22"/>
                <w:color w:val="008000"/>
                <w:vertAlign w:val="superscript"/>
              </w:rPr>
              <w:t>(7)</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398,032.75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to satisfy the Reporting Person's tax withholding obligation in connection with the vesting of restricted stock units. These sales are mandated as part of the Issuer's election under its equity incentive plans to require the satisfaction of tax withholding obligations to be funded by a "sell to cover" transaction and do not represent discretionary trades by the Reporting Person.</w:t>
      </w:r>
    </w:p>
    <w:p>
      <w:pPr>
        <w:spacing w:after="0" w:line="7"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$64.10 to $65.09.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$65.10 to $66.09.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$66.10 to $67.09.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$67.10 to $68.09.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$68.10 to $69.09.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$69.10 to $69.50.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Travis Shrout, Attorney-in- </w:t>
      </w:r>
      <w:r>
        <w:rPr>
          <w:rFonts w:ascii="Times New Roman" w:cs="Times New Roman" w:eastAsia="Times New Roman" w:hAnsi="Times New Roman"/>
          <w:sz w:val="33"/>
          <w:szCs w:val="33"/>
          <w:color w:val="0000FF"/>
          <w:vertAlign w:val="subscript"/>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41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5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45642" TargetMode="External"/><Relationship Id="rId14" Type="http://schemas.openxmlformats.org/officeDocument/2006/relationships/hyperlink" Target="http://www.sec.gov/cgi-bin/browse-edgar?action=getcompany&amp;CIK=00016388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2026-06-17T19:08:30Z</dcterms:created>
  <dcterms:modified xsi:type="dcterms:W3CDTF">2026-06-17T19:08:30Z</dcterms:modified>
</cp:coreProperties>
</file>