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8470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84708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Sherry David</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SERVICETITAN,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800 N. BRAND BLVD., SUITE 100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ServiceTitan,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TTAN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03/18/2026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540" w:type="dxa"/>
            <w:vAlign w:val="bottom"/>
            <w:gridSpan w:val="7"/>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GLENDALE</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91203</w:t>
            </w:r>
          </w:p>
        </w:tc>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8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8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8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1500" w:type="dxa"/>
            <w:vAlign w:val="bottom"/>
            <w:tcBorders>
              <w:bottom w:val="single" w:sz="8" w:color="2C2C2C"/>
            </w:tcBorders>
            <w:gridSpan w:val="3"/>
          </w:tcPr>
          <w:p>
            <w:pPr>
              <w:spacing w:after="0"/>
              <w:rPr>
                <w:sz w:val="10"/>
                <w:szCs w:val="10"/>
                <w:color w:val="auto"/>
              </w:rPr>
            </w:pPr>
          </w:p>
        </w:tc>
        <w:tc>
          <w:tcPr>
            <w:tcW w:w="2580" w:type="dxa"/>
            <w:vAlign w:val="bottom"/>
            <w:tcBorders>
              <w:bottom w:val="single" w:sz="8" w:color="2C2C2C"/>
            </w:tcBorders>
            <w:gridSpan w:val="5"/>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3"/>
          </w:tcPr>
          <w:p>
            <w:pPr>
              <w:ind w:left="6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6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60" w:type="dxa"/>
            <w:vAlign w:val="bottom"/>
            <w:gridSpan w:val="3"/>
          </w:tcPr>
          <w:p>
            <w:pPr>
              <w:jc w:val="center"/>
              <w:ind w:left="505"/>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60" w:type="dxa"/>
            <w:vAlign w:val="bottom"/>
            <w:tcBorders>
              <w:bottom w:val="single" w:sz="8" w:color="2C2C2C"/>
            </w:tcBorders>
            <w:gridSpan w:val="3"/>
          </w:tcPr>
          <w:p>
            <w:pPr>
              <w:jc w:val="center"/>
              <w:ind w:left="505"/>
              <w:spacing w:after="0"/>
              <w:rPr>
                <w:sz w:val="20"/>
                <w:szCs w:val="20"/>
                <w:color w:val="auto"/>
              </w:rPr>
            </w:pPr>
            <w:r>
              <w:rPr>
                <w:rFonts w:ascii="Times New Roman" w:cs="Times New Roman" w:eastAsia="Times New Roman" w:hAnsi="Times New Roman"/>
                <w:sz w:val="17"/>
                <w:szCs w:val="17"/>
                <w:color w:val="0000FF"/>
              </w:rPr>
              <w:t>03/18/2026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5,047</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69.86</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325,755.75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60" w:type="dxa"/>
            <w:vAlign w:val="bottom"/>
            <w:tcBorders>
              <w:bottom w:val="single" w:sz="8" w:color="2C2C2C"/>
            </w:tcBorders>
            <w:gridSpan w:val="3"/>
          </w:tcPr>
          <w:p>
            <w:pPr>
              <w:jc w:val="center"/>
              <w:ind w:left="505"/>
              <w:spacing w:after="0"/>
              <w:rPr>
                <w:sz w:val="20"/>
                <w:szCs w:val="20"/>
                <w:color w:val="auto"/>
              </w:rPr>
            </w:pPr>
            <w:r>
              <w:rPr>
                <w:rFonts w:ascii="Times New Roman" w:cs="Times New Roman" w:eastAsia="Times New Roman" w:hAnsi="Times New Roman"/>
                <w:sz w:val="17"/>
                <w:szCs w:val="17"/>
                <w:color w:val="0000FF"/>
              </w:rPr>
              <w:t>03/18/2026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8,067.5</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69.86</w:t>
            </w:r>
            <w:r>
              <w:rPr>
                <w:rFonts w:ascii="Times New Roman" w:cs="Times New Roman" w:eastAsia="Times New Roman" w:hAnsi="Times New Roman"/>
                <w:sz w:val="22"/>
                <w:szCs w:val="22"/>
                <w:color w:val="008000"/>
                <w:vertAlign w:val="superscript"/>
              </w:rPr>
              <w:t>(3)</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317,688.25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60" w:type="dxa"/>
            <w:vAlign w:val="bottom"/>
            <w:tcBorders>
              <w:bottom w:val="single" w:sz="8" w:color="2C2C2C"/>
            </w:tcBorders>
            <w:gridSpan w:val="3"/>
          </w:tcPr>
          <w:p>
            <w:pPr>
              <w:jc w:val="center"/>
              <w:ind w:left="505"/>
              <w:spacing w:after="0"/>
              <w:rPr>
                <w:sz w:val="20"/>
                <w:szCs w:val="20"/>
                <w:color w:val="auto"/>
              </w:rPr>
            </w:pPr>
            <w:r>
              <w:rPr>
                <w:rFonts w:ascii="Times New Roman" w:cs="Times New Roman" w:eastAsia="Times New Roman" w:hAnsi="Times New Roman"/>
                <w:sz w:val="17"/>
                <w:szCs w:val="17"/>
                <w:color w:val="0000FF"/>
              </w:rPr>
              <w:t>03/18/2026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2,729.75</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69.86</w:t>
            </w:r>
            <w:r>
              <w:rPr>
                <w:rFonts w:ascii="Times New Roman" w:cs="Times New Roman" w:eastAsia="Times New Roman" w:hAnsi="Times New Roman"/>
                <w:sz w:val="22"/>
                <w:szCs w:val="22"/>
                <w:color w:val="008000"/>
                <w:vertAlign w:val="superscript"/>
              </w:rPr>
              <w:t>(4)</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314,958.5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60" w:type="dxa"/>
            <w:vAlign w:val="bottom"/>
            <w:tcBorders>
              <w:bottom w:val="single" w:sz="8" w:color="2C2C2C"/>
            </w:tcBorders>
            <w:gridSpan w:val="3"/>
          </w:tcPr>
          <w:p>
            <w:pPr>
              <w:jc w:val="center"/>
              <w:ind w:left="505"/>
              <w:spacing w:after="0"/>
              <w:rPr>
                <w:sz w:val="20"/>
                <w:szCs w:val="20"/>
                <w:color w:val="auto"/>
              </w:rPr>
            </w:pPr>
            <w:r>
              <w:rPr>
                <w:rFonts w:ascii="Times New Roman" w:cs="Times New Roman" w:eastAsia="Times New Roman" w:hAnsi="Times New Roman"/>
                <w:sz w:val="17"/>
                <w:szCs w:val="17"/>
                <w:color w:val="0000FF"/>
              </w:rPr>
              <w:t>03/18/2026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936.25</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69.86</w:t>
            </w:r>
            <w:r>
              <w:rPr>
                <w:rFonts w:ascii="Times New Roman" w:cs="Times New Roman" w:eastAsia="Times New Roman" w:hAnsi="Times New Roman"/>
                <w:sz w:val="22"/>
                <w:szCs w:val="22"/>
                <w:color w:val="008000"/>
                <w:vertAlign w:val="superscript"/>
              </w:rPr>
              <w:t>(5)</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314,022.25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60" w:type="dxa"/>
            <w:vAlign w:val="bottom"/>
            <w:tcBorders>
              <w:bottom w:val="single" w:sz="8" w:color="2C2C2C"/>
            </w:tcBorders>
            <w:gridSpan w:val="3"/>
          </w:tcPr>
          <w:p>
            <w:pPr>
              <w:jc w:val="center"/>
              <w:ind w:left="505"/>
              <w:spacing w:after="0"/>
              <w:rPr>
                <w:sz w:val="20"/>
                <w:szCs w:val="20"/>
                <w:color w:val="auto"/>
              </w:rPr>
            </w:pPr>
            <w:r>
              <w:rPr>
                <w:rFonts w:ascii="Times New Roman" w:cs="Times New Roman" w:eastAsia="Times New Roman" w:hAnsi="Times New Roman"/>
                <w:sz w:val="17"/>
                <w:szCs w:val="17"/>
                <w:color w:val="0000FF"/>
              </w:rPr>
              <w:t>03/18/2026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386</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69.86</w:t>
            </w:r>
            <w:r>
              <w:rPr>
                <w:rFonts w:ascii="Times New Roman" w:cs="Times New Roman" w:eastAsia="Times New Roman" w:hAnsi="Times New Roman"/>
                <w:sz w:val="22"/>
                <w:szCs w:val="22"/>
                <w:color w:val="008000"/>
                <w:vertAlign w:val="superscript"/>
              </w:rPr>
              <w:t>(6)</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313,636.25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60" w:type="dxa"/>
            <w:vAlign w:val="bottom"/>
            <w:tcBorders>
              <w:bottom w:val="single" w:sz="8" w:color="2C2C2C"/>
            </w:tcBorders>
            <w:gridSpan w:val="3"/>
          </w:tcPr>
          <w:p>
            <w:pPr>
              <w:jc w:val="center"/>
              <w:ind w:left="505"/>
              <w:spacing w:after="0"/>
              <w:rPr>
                <w:sz w:val="20"/>
                <w:szCs w:val="20"/>
                <w:color w:val="auto"/>
              </w:rPr>
            </w:pPr>
            <w:r>
              <w:rPr>
                <w:rFonts w:ascii="Times New Roman" w:cs="Times New Roman" w:eastAsia="Times New Roman" w:hAnsi="Times New Roman"/>
                <w:sz w:val="17"/>
                <w:szCs w:val="17"/>
                <w:color w:val="0000FF"/>
              </w:rPr>
              <w:t>03/18/2026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611</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69.86</w:t>
            </w:r>
            <w:r>
              <w:rPr>
                <w:rFonts w:ascii="Times New Roman" w:cs="Times New Roman" w:eastAsia="Times New Roman" w:hAnsi="Times New Roman"/>
                <w:sz w:val="22"/>
                <w:szCs w:val="22"/>
                <w:color w:val="008000"/>
                <w:vertAlign w:val="superscript"/>
              </w:rPr>
              <w:t>(7)</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313,025.25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2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sold to satisfy the Reporting Person's tax withholding obligation in connection with the vesting of restricted stock units. These sales are mandated as part of the Issuer's election under its equity incentive plans to require the satisfaction of tax withholding obligations to be funded by a "sell to cover" transaction and do not represent discretionary trades by the Reporting Person.</w:t>
      </w:r>
    </w:p>
    <w:p>
      <w:pPr>
        <w:spacing w:after="0" w:line="7" w:lineRule="exact"/>
        <w:rPr>
          <w:rFonts w:ascii="Times New Roman" w:cs="Times New Roman" w:eastAsia="Times New Roman" w:hAnsi="Times New Roman"/>
          <w:sz w:val="13"/>
          <w:szCs w:val="13"/>
          <w:color w:val="008000"/>
        </w:rPr>
      </w:pPr>
    </w:p>
    <w:p>
      <w:pPr>
        <w:ind w:left="40" w:right="2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$68.33 to $69.32. The Reporting Person undertakes to provide the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2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$69.33 to $70.32. The Reporting Person undertakes to provide the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2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$70.33 to $71.32. The Reporting Person undertakes to provide the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2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$71.33 to $72.32. The Reporting Person undertakes to provide the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2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$72.33 to $73.32. The Reporting Person undertakes to provide the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2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$73.33 to $74.16. The Reporting Person undertakes to provide the Issuer, any security holder of the Issuer, or the staff of the Securities and Exchange Commission, upon request, full information regarding the number of shares sold at each separate price within the range set forth in this footnote.</w:t>
      </w:r>
    </w:p>
    <w:p>
      <w:pPr>
        <w:spacing w:after="0" w:line="17"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Olive Huang, Attorney-in-</w:t>
            </w:r>
          </w:p>
        </w:tc>
        <w:tc>
          <w:tcPr>
            <w:tcW w:w="80" w:type="dxa"/>
            <w:vAlign w:val="bottom"/>
          </w:tcPr>
          <w:p>
            <w:pPr>
              <w:spacing w:after="0"/>
              <w:rPr>
                <w:sz w:val="18"/>
                <w:szCs w:val="18"/>
                <w:color w:val="auto"/>
              </w:rPr>
            </w:pPr>
          </w:p>
        </w:tc>
        <w:tc>
          <w:tcPr>
            <w:tcW w:w="8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0000FF"/>
              </w:rPr>
              <w:t>03/18/2026</w:t>
            </w:r>
          </w:p>
        </w:tc>
        <w:tc>
          <w:tcPr>
            <w:tcW w:w="0" w:type="dxa"/>
            <w:vAlign w:val="bottom"/>
          </w:tcPr>
          <w:p>
            <w:pPr>
              <w:spacing w:after="0"/>
              <w:rPr>
                <w:sz w:val="1"/>
                <w:szCs w:val="1"/>
                <w:color w:val="auto"/>
              </w:rPr>
            </w:pPr>
          </w:p>
        </w:tc>
      </w:tr>
      <w:tr>
        <w:trPr>
          <w:trHeight w:val="87"/>
        </w:trPr>
        <w:tc>
          <w:tcPr>
            <w:tcW w:w="214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4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4"/>
          <w:szCs w:val="24"/>
          <w:color w:val="auto"/>
        </w:rPr>
      </w:pPr>
    </w:p>
    <w:p>
      <w:pPr>
        <w:sectPr>
          <w:pgSz w:w="11900" w:h="16838" w:orient="portrait"/>
          <w:cols w:equalWidth="0" w:num="1">
            <w:col w:w="11080"/>
          </w:cols>
          <w:pgMar w:left="460" w:top="219" w:right="359" w:bottom="0" w:gutter="0" w:footer="0" w:header="0"/>
          <w:type w:val="continuous"/>
        </w:sect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ectPr>
          <w:pgSz w:w="11900" w:h="16838" w:orient="portrait"/>
          <w:cols w:equalWidth="0" w:num="1">
            <w:col w:w="11080"/>
          </w:cols>
          <w:pgMar w:left="460" w:top="219"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2"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45642" TargetMode="External"/><Relationship Id="rId14" Type="http://schemas.openxmlformats.org/officeDocument/2006/relationships/hyperlink" Target="http://www.sec.gov/cgi-bin/browse-edgar?action=getcompany&amp;CIK=000163882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2026-03-19T16:46:00Z</dcterms:created>
  <dcterms:modified xsi:type="dcterms:W3CDTF">2026-03-19T16:46:00Z</dcterms:modified>
</cp:coreProperties>
</file>