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tan-20260131.htm"/>
      <w:bookmarkStart w:id="1" w:name="ksttan20260131"/>
      <w:bookmarkEnd w:id="0"/>
      <w:bookmarkEnd w:id="1"/>
      <w:r>
        <w:rPr/>
        <w:t> </w:t>
      </w:r>
      <w:r>
        <mc:AlternateContent>
          <mc:Choice Requires="wps">
            <w:drawing>
              <wp:anchor behindDoc="0" distT="0" distB="0" distL="0" distR="0" simplePos="0" locked="0" layoutInCell="1" allowOverlap="1" relativeHeight="63">
                <wp:simplePos x="0" y="0"/>
                <wp:positionH relativeFrom="page">
                  <wp:posOffset>0</wp:posOffset>
                </wp:positionH>
                <wp:positionV relativeFrom="page">
                  <wp:posOffset>0</wp:posOffset>
                </wp:positionV>
                <wp:extent cx="2560320" cy="471805"/>
                <wp:effectExtent l="0" t="0" r="0" b="0"/>
                <wp:wrapNone/>
                <wp:docPr id="1" name="Frame6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0</wp:posOffset>
                </wp:positionH>
                <wp:positionV relativeFrom="page">
                  <wp:posOffset>0</wp:posOffset>
                </wp:positionV>
                <wp:extent cx="2560320" cy="471805"/>
                <wp:effectExtent l="0" t="0" r="0" b="0"/>
                <wp:wrapNone/>
                <wp:docPr id="2" name="Frame7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0</wp:posOffset>
                </wp:positionH>
                <wp:positionV relativeFrom="page">
                  <wp:posOffset>0</wp:posOffset>
                </wp:positionV>
                <wp:extent cx="2560320" cy="471805"/>
                <wp:effectExtent l="0" t="0" r="0" b="0"/>
                <wp:wrapNone/>
                <wp:docPr id="3" name="Frame7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0</wp:posOffset>
                </wp:positionH>
                <wp:positionV relativeFrom="page">
                  <wp:posOffset>0</wp:posOffset>
                </wp:positionV>
                <wp:extent cx="2560320" cy="471805"/>
                <wp:effectExtent l="0" t="0" r="0" b="0"/>
                <wp:wrapNone/>
                <wp:docPr id="4" name="Frame7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0</wp:posOffset>
                </wp:positionH>
                <wp:positionV relativeFrom="page">
                  <wp:posOffset>0</wp:posOffset>
                </wp:positionV>
                <wp:extent cx="2560320" cy="471805"/>
                <wp:effectExtent l="0" t="0" r="0" b="0"/>
                <wp:wrapNone/>
                <wp:docPr id="5" name="Frame6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0</wp:posOffset>
                </wp:positionH>
                <wp:positionV relativeFrom="page">
                  <wp:posOffset>0</wp:posOffset>
                </wp:positionV>
                <wp:extent cx="2560320" cy="471805"/>
                <wp:effectExtent l="0" t="0" r="0" b="0"/>
                <wp:wrapNone/>
                <wp:docPr id="6" name="Frame6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0</wp:posOffset>
                </wp:positionH>
                <wp:positionV relativeFrom="page">
                  <wp:posOffset>0</wp:posOffset>
                </wp:positionV>
                <wp:extent cx="2560320" cy="471805"/>
                <wp:effectExtent l="0" t="0" r="0" b="0"/>
                <wp:wrapNone/>
                <wp:docPr id="7" name="Frame6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0</wp:posOffset>
                </wp:positionH>
                <wp:positionV relativeFrom="page">
                  <wp:posOffset>0</wp:posOffset>
                </wp:positionV>
                <wp:extent cx="2560320" cy="471805"/>
                <wp:effectExtent l="0" t="0" r="0" b="0"/>
                <wp:wrapNone/>
                <wp:docPr id="8" name="Frame6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0</wp:posOffset>
                </wp:positionH>
                <wp:positionV relativeFrom="page">
                  <wp:posOffset>0</wp:posOffset>
                </wp:positionV>
                <wp:extent cx="2560320" cy="471805"/>
                <wp:effectExtent l="0" t="0" r="0" b="0"/>
                <wp:wrapNone/>
                <wp:docPr id="9" name="Frame6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0</wp:posOffset>
                </wp:positionH>
                <wp:positionV relativeFrom="page">
                  <wp:posOffset>0</wp:posOffset>
                </wp:positionV>
                <wp:extent cx="2560320" cy="471805"/>
                <wp:effectExtent l="0" t="0" r="0" b="0"/>
                <wp:wrapNone/>
                <wp:docPr id="10" name="Frame6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0</wp:posOffset>
                </wp:positionH>
                <wp:positionV relativeFrom="page">
                  <wp:posOffset>0</wp:posOffset>
                </wp:positionV>
                <wp:extent cx="2560320" cy="471805"/>
                <wp:effectExtent l="0" t="0" r="0" b="0"/>
                <wp:wrapNone/>
                <wp:docPr id="11" name="Frame6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0</wp:posOffset>
                </wp:positionH>
                <wp:positionV relativeFrom="page">
                  <wp:posOffset>0</wp:posOffset>
                </wp:positionV>
                <wp:extent cx="2560320" cy="471805"/>
                <wp:effectExtent l="0" t="0" r="0" b="0"/>
                <wp:wrapNone/>
                <wp:docPr id="12" name="Frame6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0</wp:posOffset>
                </wp:positionH>
                <wp:positionV relativeFrom="page">
                  <wp:posOffset>0</wp:posOffset>
                </wp:positionV>
                <wp:extent cx="2560320" cy="471805"/>
                <wp:effectExtent l="0" t="0" r="0" b="0"/>
                <wp:wrapNone/>
                <wp:docPr id="13" name="Frame6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6">
                <wp:simplePos x="0" y="0"/>
                <wp:positionH relativeFrom="page">
                  <wp:posOffset>0</wp:posOffset>
                </wp:positionH>
                <wp:positionV relativeFrom="page">
                  <wp:posOffset>0</wp:posOffset>
                </wp:positionV>
                <wp:extent cx="2560320" cy="471805"/>
                <wp:effectExtent l="0" t="0" r="0" b="0"/>
                <wp:wrapNone/>
                <wp:docPr id="14" name="Frame7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0</wp:posOffset>
                </wp:positionH>
                <wp:positionV relativeFrom="page">
                  <wp:posOffset>0</wp:posOffset>
                </wp:positionV>
                <wp:extent cx="2560320" cy="471805"/>
                <wp:effectExtent l="0" t="0" r="0" b="0"/>
                <wp:wrapNone/>
                <wp:docPr id="15" name="Frame5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0</wp:posOffset>
                </wp:positionH>
                <wp:positionV relativeFrom="page">
                  <wp:posOffset>0</wp:posOffset>
                </wp:positionV>
                <wp:extent cx="2560320" cy="471805"/>
                <wp:effectExtent l="0" t="0" r="0" b="0"/>
                <wp:wrapNone/>
                <wp:docPr id="16" name="Frame5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0</wp:posOffset>
                </wp:positionH>
                <wp:positionV relativeFrom="page">
                  <wp:posOffset>0</wp:posOffset>
                </wp:positionV>
                <wp:extent cx="2560320" cy="471805"/>
                <wp:effectExtent l="0" t="0" r="0" b="0"/>
                <wp:wrapNone/>
                <wp:docPr id="17" name="Frame5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0</wp:posOffset>
                </wp:positionH>
                <wp:positionV relativeFrom="page">
                  <wp:posOffset>0</wp:posOffset>
                </wp:positionV>
                <wp:extent cx="2560320" cy="471805"/>
                <wp:effectExtent l="0" t="0" r="0" b="0"/>
                <wp:wrapNone/>
                <wp:docPr id="18" name="Frame5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0</wp:posOffset>
                </wp:positionH>
                <wp:positionV relativeFrom="page">
                  <wp:posOffset>0</wp:posOffset>
                </wp:positionV>
                <wp:extent cx="2560320" cy="471805"/>
                <wp:effectExtent l="0" t="0" r="0" b="0"/>
                <wp:wrapNone/>
                <wp:docPr id="19" name="Frame5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0</wp:posOffset>
                </wp:positionH>
                <wp:positionV relativeFrom="page">
                  <wp:posOffset>0</wp:posOffset>
                </wp:positionV>
                <wp:extent cx="2560320" cy="471805"/>
                <wp:effectExtent l="0" t="0" r="0" b="0"/>
                <wp:wrapNone/>
                <wp:docPr id="20" name="Frame5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0</wp:posOffset>
                </wp:positionH>
                <wp:positionV relativeFrom="page">
                  <wp:posOffset>0</wp:posOffset>
                </wp:positionV>
                <wp:extent cx="2560320" cy="471805"/>
                <wp:effectExtent l="0" t="0" r="0" b="0"/>
                <wp:wrapNone/>
                <wp:docPr id="21" name="Frame5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0</wp:posOffset>
                </wp:positionH>
                <wp:positionV relativeFrom="page">
                  <wp:posOffset>0</wp:posOffset>
                </wp:positionV>
                <wp:extent cx="2560320" cy="471805"/>
                <wp:effectExtent l="0" t="0" r="0" b="0"/>
                <wp:wrapNone/>
                <wp:docPr id="22" name="Frame5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0</wp:posOffset>
                </wp:positionH>
                <wp:positionV relativeFrom="page">
                  <wp:posOffset>0</wp:posOffset>
                </wp:positionV>
                <wp:extent cx="2560320" cy="471805"/>
                <wp:effectExtent l="0" t="0" r="0" b="0"/>
                <wp:wrapNone/>
                <wp:docPr id="23" name="Frame5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0</wp:posOffset>
                </wp:positionH>
                <wp:positionV relativeFrom="page">
                  <wp:posOffset>0</wp:posOffset>
                </wp:positionV>
                <wp:extent cx="2560320" cy="471805"/>
                <wp:effectExtent l="0" t="0" r="0" b="0"/>
                <wp:wrapNone/>
                <wp:docPr id="24" name="Frame5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0</wp:posOffset>
                </wp:positionH>
                <wp:positionV relativeFrom="page">
                  <wp:posOffset>0</wp:posOffset>
                </wp:positionV>
                <wp:extent cx="2560320" cy="471805"/>
                <wp:effectExtent l="0" t="0" r="0" b="0"/>
                <wp:wrapNone/>
                <wp:docPr id="25" name="Frame4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page">
                  <wp:posOffset>0</wp:posOffset>
                </wp:positionH>
                <wp:positionV relativeFrom="page">
                  <wp:posOffset>0</wp:posOffset>
                </wp:positionV>
                <wp:extent cx="2560320" cy="471805"/>
                <wp:effectExtent l="0" t="0" r="0" b="0"/>
                <wp:wrapNone/>
                <wp:docPr id="26" name="Frame8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0</wp:posOffset>
                </wp:positionH>
                <wp:positionV relativeFrom="page">
                  <wp:posOffset>0</wp:posOffset>
                </wp:positionV>
                <wp:extent cx="2560320" cy="471805"/>
                <wp:effectExtent l="0" t="0" r="0" b="0"/>
                <wp:wrapNone/>
                <wp:docPr id="27" name="Frame9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8">
                <wp:simplePos x="0" y="0"/>
                <wp:positionH relativeFrom="page">
                  <wp:posOffset>0</wp:posOffset>
                </wp:positionH>
                <wp:positionV relativeFrom="page">
                  <wp:posOffset>0</wp:posOffset>
                </wp:positionV>
                <wp:extent cx="2560320" cy="471805"/>
                <wp:effectExtent l="0" t="0" r="0" b="0"/>
                <wp:wrapNone/>
                <wp:docPr id="28" name="Frame9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0</wp:posOffset>
                </wp:positionH>
                <wp:positionV relativeFrom="page">
                  <wp:posOffset>0</wp:posOffset>
                </wp:positionV>
                <wp:extent cx="2560320" cy="471805"/>
                <wp:effectExtent l="0" t="0" r="0" b="0"/>
                <wp:wrapNone/>
                <wp:docPr id="29" name="Frame9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6">
                <wp:simplePos x="0" y="0"/>
                <wp:positionH relativeFrom="page">
                  <wp:posOffset>0</wp:posOffset>
                </wp:positionH>
                <wp:positionV relativeFrom="page">
                  <wp:posOffset>0</wp:posOffset>
                </wp:positionV>
                <wp:extent cx="2560320" cy="471805"/>
                <wp:effectExtent l="0" t="0" r="0" b="0"/>
                <wp:wrapNone/>
                <wp:docPr id="30" name="Frame9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0</wp:posOffset>
                </wp:positionH>
                <wp:positionV relativeFrom="page">
                  <wp:posOffset>0</wp:posOffset>
                </wp:positionV>
                <wp:extent cx="2560320" cy="471805"/>
                <wp:effectExtent l="0" t="0" r="0" b="0"/>
                <wp:wrapNone/>
                <wp:docPr id="31" name="Frame9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4">
                <wp:simplePos x="0" y="0"/>
                <wp:positionH relativeFrom="page">
                  <wp:posOffset>0</wp:posOffset>
                </wp:positionH>
                <wp:positionV relativeFrom="page">
                  <wp:posOffset>0</wp:posOffset>
                </wp:positionV>
                <wp:extent cx="2560320" cy="471805"/>
                <wp:effectExtent l="0" t="0" r="0" b="0"/>
                <wp:wrapNone/>
                <wp:docPr id="32" name="Frame9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0</wp:posOffset>
                </wp:positionH>
                <wp:positionV relativeFrom="page">
                  <wp:posOffset>0</wp:posOffset>
                </wp:positionV>
                <wp:extent cx="2560320" cy="471805"/>
                <wp:effectExtent l="0" t="0" r="0" b="0"/>
                <wp:wrapNone/>
                <wp:docPr id="33" name="Frame9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0</wp:posOffset>
                </wp:positionH>
                <wp:positionV relativeFrom="page">
                  <wp:posOffset>0</wp:posOffset>
                </wp:positionV>
                <wp:extent cx="2560320" cy="471805"/>
                <wp:effectExtent l="0" t="0" r="0" b="0"/>
                <wp:wrapNone/>
                <wp:docPr id="34" name="Frame8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0</wp:posOffset>
                </wp:positionH>
                <wp:positionV relativeFrom="page">
                  <wp:posOffset>0</wp:posOffset>
                </wp:positionV>
                <wp:extent cx="2560320" cy="471805"/>
                <wp:effectExtent l="0" t="0" r="0" b="0"/>
                <wp:wrapNone/>
                <wp:docPr id="35" name="Frame8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0</wp:posOffset>
                </wp:positionH>
                <wp:positionV relativeFrom="page">
                  <wp:posOffset>0</wp:posOffset>
                </wp:positionV>
                <wp:extent cx="2560320" cy="471805"/>
                <wp:effectExtent l="0" t="0" r="0" b="0"/>
                <wp:wrapNone/>
                <wp:docPr id="36" name="Frame8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0</wp:posOffset>
                </wp:positionH>
                <wp:positionV relativeFrom="page">
                  <wp:posOffset>0</wp:posOffset>
                </wp:positionV>
                <wp:extent cx="2560320" cy="471805"/>
                <wp:effectExtent l="0" t="0" r="0" b="0"/>
                <wp:wrapNone/>
                <wp:docPr id="37" name="Frame8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0</wp:posOffset>
                </wp:positionH>
                <wp:positionV relativeFrom="page">
                  <wp:posOffset>0</wp:posOffset>
                </wp:positionV>
                <wp:extent cx="2560320" cy="471805"/>
                <wp:effectExtent l="0" t="0" r="0" b="0"/>
                <wp:wrapNone/>
                <wp:docPr id="38" name="Frame4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0</wp:posOffset>
                </wp:positionH>
                <wp:positionV relativeFrom="page">
                  <wp:posOffset>0</wp:posOffset>
                </wp:positionV>
                <wp:extent cx="2560320" cy="471805"/>
                <wp:effectExtent l="0" t="0" r="0" b="0"/>
                <wp:wrapNone/>
                <wp:docPr id="39" name="Frame8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6">
                <wp:simplePos x="0" y="0"/>
                <wp:positionH relativeFrom="page">
                  <wp:posOffset>0</wp:posOffset>
                </wp:positionH>
                <wp:positionV relativeFrom="page">
                  <wp:posOffset>0</wp:posOffset>
                </wp:positionV>
                <wp:extent cx="2560320" cy="471805"/>
                <wp:effectExtent l="0" t="0" r="0" b="0"/>
                <wp:wrapNone/>
                <wp:docPr id="40" name="Frame8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0</wp:posOffset>
                </wp:positionH>
                <wp:positionV relativeFrom="page">
                  <wp:posOffset>0</wp:posOffset>
                </wp:positionV>
                <wp:extent cx="2560320" cy="471805"/>
                <wp:effectExtent l="0" t="0" r="0" b="0"/>
                <wp:wrapNone/>
                <wp:docPr id="41" name="Frame8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4">
                <wp:simplePos x="0" y="0"/>
                <wp:positionH relativeFrom="page">
                  <wp:posOffset>0</wp:posOffset>
                </wp:positionH>
                <wp:positionV relativeFrom="page">
                  <wp:posOffset>0</wp:posOffset>
                </wp:positionV>
                <wp:extent cx="2560320" cy="471805"/>
                <wp:effectExtent l="0" t="0" r="0" b="0"/>
                <wp:wrapNone/>
                <wp:docPr id="42" name="Frame8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0</wp:posOffset>
                </wp:positionH>
                <wp:positionV relativeFrom="page">
                  <wp:posOffset>0</wp:posOffset>
                </wp:positionV>
                <wp:extent cx="2560320" cy="471805"/>
                <wp:effectExtent l="0" t="0" r="0" b="0"/>
                <wp:wrapNone/>
                <wp:docPr id="43" name="Frame8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2">
                <wp:simplePos x="0" y="0"/>
                <wp:positionH relativeFrom="page">
                  <wp:posOffset>0</wp:posOffset>
                </wp:positionH>
                <wp:positionV relativeFrom="page">
                  <wp:posOffset>0</wp:posOffset>
                </wp:positionV>
                <wp:extent cx="2560320" cy="471805"/>
                <wp:effectExtent l="0" t="0" r="0" b="0"/>
                <wp:wrapNone/>
                <wp:docPr id="44" name="Frame7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0</wp:posOffset>
                </wp:positionH>
                <wp:positionV relativeFrom="page">
                  <wp:posOffset>0</wp:posOffset>
                </wp:positionV>
                <wp:extent cx="2560320" cy="471805"/>
                <wp:effectExtent l="0" t="0" r="0" b="0"/>
                <wp:wrapNone/>
                <wp:docPr id="45" name="Frame7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0">
                <wp:simplePos x="0" y="0"/>
                <wp:positionH relativeFrom="page">
                  <wp:posOffset>0</wp:posOffset>
                </wp:positionH>
                <wp:positionV relativeFrom="page">
                  <wp:posOffset>0</wp:posOffset>
                </wp:positionV>
                <wp:extent cx="2560320" cy="471805"/>
                <wp:effectExtent l="0" t="0" r="0" b="0"/>
                <wp:wrapNone/>
                <wp:docPr id="46" name="Frame7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0</wp:posOffset>
                </wp:positionH>
                <wp:positionV relativeFrom="page">
                  <wp:posOffset>0</wp:posOffset>
                </wp:positionV>
                <wp:extent cx="2560320" cy="471805"/>
                <wp:effectExtent l="0" t="0" r="0" b="0"/>
                <wp:wrapNone/>
                <wp:docPr id="47" name="Frame7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8">
                <wp:simplePos x="0" y="0"/>
                <wp:positionH relativeFrom="page">
                  <wp:posOffset>0</wp:posOffset>
                </wp:positionH>
                <wp:positionV relativeFrom="page">
                  <wp:posOffset>0</wp:posOffset>
                </wp:positionV>
                <wp:extent cx="2560320" cy="471805"/>
                <wp:effectExtent l="0" t="0" r="0" b="0"/>
                <wp:wrapNone/>
                <wp:docPr id="48" name="Frame7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0</wp:posOffset>
                </wp:positionH>
                <wp:positionV relativeFrom="page">
                  <wp:posOffset>0</wp:posOffset>
                </wp:positionV>
                <wp:extent cx="2560320" cy="471805"/>
                <wp:effectExtent l="0" t="0" r="0" b="0"/>
                <wp:wrapNone/>
                <wp:docPr id="49" name="Frame7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0</wp:posOffset>
                </wp:positionH>
                <wp:positionV relativeFrom="page">
                  <wp:posOffset>0</wp:posOffset>
                </wp:positionV>
                <wp:extent cx="2560320" cy="471805"/>
                <wp:effectExtent l="0" t="0" r="0" b="0"/>
                <wp:wrapNone/>
                <wp:docPr id="50" name="Frame1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0</wp:posOffset>
                </wp:positionH>
                <wp:positionV relativeFrom="page">
                  <wp:posOffset>0</wp:posOffset>
                </wp:positionV>
                <wp:extent cx="2560320" cy="471805"/>
                <wp:effectExtent l="0" t="0" r="0" b="0"/>
                <wp:wrapNone/>
                <wp:docPr id="51" name="Frame2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0</wp:posOffset>
                </wp:positionH>
                <wp:positionV relativeFrom="page">
                  <wp:posOffset>0</wp:posOffset>
                </wp:positionV>
                <wp:extent cx="2560320" cy="471805"/>
                <wp:effectExtent l="0" t="0" r="0" b="0"/>
                <wp:wrapNone/>
                <wp:docPr id="52" name="Frame2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0</wp:posOffset>
                </wp:positionH>
                <wp:positionV relativeFrom="page">
                  <wp:posOffset>0</wp:posOffset>
                </wp:positionV>
                <wp:extent cx="2560320" cy="471805"/>
                <wp:effectExtent l="0" t="0" r="0" b="0"/>
                <wp:wrapNone/>
                <wp:docPr id="53" name="Frame2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0</wp:posOffset>
                </wp:positionH>
                <wp:positionV relativeFrom="page">
                  <wp:posOffset>0</wp:posOffset>
                </wp:positionV>
                <wp:extent cx="2560320" cy="471805"/>
                <wp:effectExtent l="0" t="0" r="0" b="0"/>
                <wp:wrapNone/>
                <wp:docPr id="54" name="Frame2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0</wp:posOffset>
                </wp:positionH>
                <wp:positionV relativeFrom="page">
                  <wp:posOffset>0</wp:posOffset>
                </wp:positionV>
                <wp:extent cx="2560320" cy="471805"/>
                <wp:effectExtent l="0" t="0" r="0" b="0"/>
                <wp:wrapNone/>
                <wp:docPr id="55" name="Frame1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0</wp:posOffset>
                </wp:positionH>
                <wp:positionV relativeFrom="page">
                  <wp:posOffset>0</wp:posOffset>
                </wp:positionV>
                <wp:extent cx="2560320" cy="471805"/>
                <wp:effectExtent l="0" t="0" r="0" b="0"/>
                <wp:wrapNone/>
                <wp:docPr id="56" name="Frame1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0</wp:posOffset>
                </wp:positionH>
                <wp:positionV relativeFrom="page">
                  <wp:posOffset>0</wp:posOffset>
                </wp:positionV>
                <wp:extent cx="2560320" cy="471805"/>
                <wp:effectExtent l="0" t="0" r="0" b="0"/>
                <wp:wrapNone/>
                <wp:docPr id="57" name="Frame1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0</wp:posOffset>
                </wp:positionH>
                <wp:positionV relativeFrom="page">
                  <wp:posOffset>0</wp:posOffset>
                </wp:positionV>
                <wp:extent cx="2560320" cy="471805"/>
                <wp:effectExtent l="0" t="0" r="0" b="0"/>
                <wp:wrapNone/>
                <wp:docPr id="58" name="Frame1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0</wp:posOffset>
                </wp:positionH>
                <wp:positionV relativeFrom="page">
                  <wp:posOffset>0</wp:posOffset>
                </wp:positionV>
                <wp:extent cx="2560320" cy="471805"/>
                <wp:effectExtent l="0" t="0" r="0" b="0"/>
                <wp:wrapNone/>
                <wp:docPr id="59" name="Frame1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0</wp:posOffset>
                </wp:positionH>
                <wp:positionV relativeFrom="page">
                  <wp:posOffset>0</wp:posOffset>
                </wp:positionV>
                <wp:extent cx="2560320" cy="471805"/>
                <wp:effectExtent l="0" t="0" r="0" b="0"/>
                <wp:wrapNone/>
                <wp:docPr id="60" name="Frame1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0</wp:posOffset>
                </wp:positionH>
                <wp:positionV relativeFrom="page">
                  <wp:posOffset>0</wp:posOffset>
                </wp:positionV>
                <wp:extent cx="2560320" cy="471805"/>
                <wp:effectExtent l="0" t="0" r="0" b="0"/>
                <wp:wrapNone/>
                <wp:docPr id="61" name="Frame1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0</wp:posOffset>
                </wp:positionH>
                <wp:positionV relativeFrom="page">
                  <wp:posOffset>0</wp:posOffset>
                </wp:positionV>
                <wp:extent cx="2560320" cy="471805"/>
                <wp:effectExtent l="0" t="0" r="0" b="0"/>
                <wp:wrapNone/>
                <wp:docPr id="62" name="Frame2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0</wp:posOffset>
                </wp:positionH>
                <wp:positionV relativeFrom="page">
                  <wp:posOffset>0</wp:posOffset>
                </wp:positionV>
                <wp:extent cx="2560320" cy="471805"/>
                <wp:effectExtent l="0" t="0" r="0" b="0"/>
                <wp:wrapNone/>
                <wp:docPr id="63" name="Frame1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0</wp:posOffset>
                </wp:positionH>
                <wp:positionV relativeFrom="page">
                  <wp:posOffset>0</wp:posOffset>
                </wp:positionV>
                <wp:extent cx="2560320" cy="471805"/>
                <wp:effectExtent l="0" t="0" r="0" b="0"/>
                <wp:wrapNone/>
                <wp:docPr id="64" name="Frame1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0</wp:posOffset>
                </wp:positionH>
                <wp:positionV relativeFrom="page">
                  <wp:posOffset>0</wp:posOffset>
                </wp:positionV>
                <wp:extent cx="2560320" cy="471805"/>
                <wp:effectExtent l="0" t="0" r="0" b="0"/>
                <wp:wrapNone/>
                <wp:docPr id="65" name="Frame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0</wp:posOffset>
                </wp:positionH>
                <wp:positionV relativeFrom="page">
                  <wp:posOffset>0</wp:posOffset>
                </wp:positionV>
                <wp:extent cx="2560320" cy="471805"/>
                <wp:effectExtent l="0" t="0" r="0" b="0"/>
                <wp:wrapNone/>
                <wp:docPr id="66" name="Frame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page">
                  <wp:posOffset>0</wp:posOffset>
                </wp:positionV>
                <wp:extent cx="2560320" cy="471805"/>
                <wp:effectExtent l="0" t="0" r="0" b="0"/>
                <wp:wrapNone/>
                <wp:docPr id="67" name="Frame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0</wp:posOffset>
                </wp:positionH>
                <wp:positionV relativeFrom="page">
                  <wp:posOffset>0</wp:posOffset>
                </wp:positionV>
                <wp:extent cx="2560320" cy="471805"/>
                <wp:effectExtent l="0" t="0" r="0" b="0"/>
                <wp:wrapNone/>
                <wp:docPr id="68" name="Frame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0</wp:posOffset>
                </wp:positionV>
                <wp:extent cx="2560320" cy="471805"/>
                <wp:effectExtent l="0" t="0" r="0" b="0"/>
                <wp:wrapNone/>
                <wp:docPr id="69" name="Frame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2560320" cy="471805"/>
                <wp:effectExtent l="0" t="0" r="0" b="0"/>
                <wp:wrapNone/>
                <wp:docPr id="70" name="Frame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0</wp:posOffset>
                </wp:positionV>
                <wp:extent cx="2560320" cy="471805"/>
                <wp:effectExtent l="0" t="0" r="0" b="0"/>
                <wp:wrapNone/>
                <wp:docPr id="71" name="Frame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60320" cy="471805"/>
                <wp:effectExtent l="0" t="0" r="0" b="0"/>
                <wp:wrapNone/>
                <wp:docPr id="72" name="Frame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2550795" cy="471805"/>
                <wp:effectExtent l="0" t="0" r="0" b="0"/>
                <wp:wrapNone/>
                <wp:docPr id="73" name="Frame1"/>
                <a:graphic xmlns:a="http://schemas.openxmlformats.org/drawingml/2006/main">
                  <a:graphicData uri="http://schemas.microsoft.com/office/word/2010/wordprocessingShape">
                    <wps:wsp>
                      <wps:cNvSpPr txBox="1"/>
                      <wps:spPr>
                        <a:xfrm>
                          <a:off x="0" y="0"/>
                          <a:ext cx="2550795"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0.85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0</wp:posOffset>
                </wp:positionH>
                <wp:positionV relativeFrom="page">
                  <wp:posOffset>0</wp:posOffset>
                </wp:positionV>
                <wp:extent cx="2560320" cy="471805"/>
                <wp:effectExtent l="0" t="0" r="0" b="0"/>
                <wp:wrapNone/>
                <wp:docPr id="74" name="Frame3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0</wp:posOffset>
                </wp:positionH>
                <wp:positionV relativeFrom="page">
                  <wp:posOffset>0</wp:posOffset>
                </wp:positionV>
                <wp:extent cx="2560320" cy="471805"/>
                <wp:effectExtent l="0" t="0" r="0" b="0"/>
                <wp:wrapNone/>
                <wp:docPr id="75" name="Frame4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0</wp:posOffset>
                </wp:positionH>
                <wp:positionV relativeFrom="page">
                  <wp:posOffset>0</wp:posOffset>
                </wp:positionV>
                <wp:extent cx="2560320" cy="471805"/>
                <wp:effectExtent l="0" t="0" r="0" b="0"/>
                <wp:wrapNone/>
                <wp:docPr id="76" name="Frame4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0</wp:posOffset>
                </wp:positionH>
                <wp:positionV relativeFrom="page">
                  <wp:posOffset>0</wp:posOffset>
                </wp:positionV>
                <wp:extent cx="2560320" cy="471805"/>
                <wp:effectExtent l="0" t="0" r="0" b="0"/>
                <wp:wrapNone/>
                <wp:docPr id="77" name="Frame4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0</wp:posOffset>
                </wp:positionH>
                <wp:positionV relativeFrom="page">
                  <wp:posOffset>0</wp:posOffset>
                </wp:positionV>
                <wp:extent cx="2560320" cy="471805"/>
                <wp:effectExtent l="0" t="0" r="0" b="0"/>
                <wp:wrapNone/>
                <wp:docPr id="78" name="Frame4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0</wp:posOffset>
                </wp:positionH>
                <wp:positionV relativeFrom="page">
                  <wp:posOffset>0</wp:posOffset>
                </wp:positionV>
                <wp:extent cx="2560320" cy="471805"/>
                <wp:effectExtent l="0" t="0" r="0" b="0"/>
                <wp:wrapNone/>
                <wp:docPr id="79" name="Frame4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0</wp:posOffset>
                </wp:positionH>
                <wp:positionV relativeFrom="page">
                  <wp:posOffset>0</wp:posOffset>
                </wp:positionV>
                <wp:extent cx="2560320" cy="471805"/>
                <wp:effectExtent l="0" t="0" r="0" b="0"/>
                <wp:wrapNone/>
                <wp:docPr id="80" name="Frame4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0</wp:posOffset>
                </wp:positionH>
                <wp:positionV relativeFrom="page">
                  <wp:posOffset>0</wp:posOffset>
                </wp:positionV>
                <wp:extent cx="2560320" cy="471805"/>
                <wp:effectExtent l="0" t="0" r="0" b="0"/>
                <wp:wrapNone/>
                <wp:docPr id="81" name="Frame4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0</wp:posOffset>
                </wp:positionH>
                <wp:positionV relativeFrom="page">
                  <wp:posOffset>0</wp:posOffset>
                </wp:positionV>
                <wp:extent cx="2560320" cy="471805"/>
                <wp:effectExtent l="0" t="0" r="0" b="0"/>
                <wp:wrapNone/>
                <wp:docPr id="82" name="Frame4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0</wp:posOffset>
                </wp:positionH>
                <wp:positionV relativeFrom="page">
                  <wp:posOffset>0</wp:posOffset>
                </wp:positionV>
                <wp:extent cx="2560320" cy="471805"/>
                <wp:effectExtent l="0" t="0" r="0" b="0"/>
                <wp:wrapNone/>
                <wp:docPr id="83" name="Frame3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0</wp:posOffset>
                </wp:positionH>
                <wp:positionV relativeFrom="page">
                  <wp:posOffset>0</wp:posOffset>
                </wp:positionV>
                <wp:extent cx="2560320" cy="471805"/>
                <wp:effectExtent l="0" t="0" r="0" b="0"/>
                <wp:wrapNone/>
                <wp:docPr id="84" name="Frame3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0</wp:posOffset>
                </wp:positionH>
                <wp:positionV relativeFrom="page">
                  <wp:posOffset>0</wp:posOffset>
                </wp:positionV>
                <wp:extent cx="2560320" cy="471805"/>
                <wp:effectExtent l="0" t="0" r="0" b="0"/>
                <wp:wrapNone/>
                <wp:docPr id="85" name="Frame3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0">
                <wp:simplePos x="0" y="0"/>
                <wp:positionH relativeFrom="page">
                  <wp:posOffset>0</wp:posOffset>
                </wp:positionH>
                <wp:positionV relativeFrom="page">
                  <wp:posOffset>0</wp:posOffset>
                </wp:positionV>
                <wp:extent cx="2560320" cy="471805"/>
                <wp:effectExtent l="0" t="0" r="0" b="0"/>
                <wp:wrapNone/>
                <wp:docPr id="86" name="Frame9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0</wp:posOffset>
                </wp:positionH>
                <wp:positionV relativeFrom="page">
                  <wp:posOffset>0</wp:posOffset>
                </wp:positionV>
                <wp:extent cx="2560320" cy="471805"/>
                <wp:effectExtent l="0" t="0" r="0" b="0"/>
                <wp:wrapNone/>
                <wp:docPr id="87" name="Frame3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0</wp:posOffset>
                </wp:positionH>
                <wp:positionV relativeFrom="page">
                  <wp:posOffset>0</wp:posOffset>
                </wp:positionV>
                <wp:extent cx="2560320" cy="471805"/>
                <wp:effectExtent l="0" t="0" r="0" b="0"/>
                <wp:wrapNone/>
                <wp:docPr id="88" name="Frame3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0</wp:posOffset>
                </wp:positionH>
                <wp:positionV relativeFrom="page">
                  <wp:posOffset>0</wp:posOffset>
                </wp:positionV>
                <wp:extent cx="2560320" cy="471805"/>
                <wp:effectExtent l="0" t="0" r="0" b="0"/>
                <wp:wrapNone/>
                <wp:docPr id="89" name="Frame3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0</wp:posOffset>
                </wp:positionH>
                <wp:positionV relativeFrom="page">
                  <wp:posOffset>0</wp:posOffset>
                </wp:positionV>
                <wp:extent cx="2560320" cy="471805"/>
                <wp:effectExtent l="0" t="0" r="0" b="0"/>
                <wp:wrapNone/>
                <wp:docPr id="90" name="Frame3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0</wp:posOffset>
                </wp:positionH>
                <wp:positionV relativeFrom="page">
                  <wp:posOffset>0</wp:posOffset>
                </wp:positionV>
                <wp:extent cx="2560320" cy="471805"/>
                <wp:effectExtent l="0" t="0" r="0" b="0"/>
                <wp:wrapNone/>
                <wp:docPr id="91" name="Frame3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0</wp:posOffset>
                </wp:positionH>
                <wp:positionV relativeFrom="page">
                  <wp:posOffset>0</wp:posOffset>
                </wp:positionV>
                <wp:extent cx="2560320" cy="471805"/>
                <wp:effectExtent l="0" t="0" r="0" b="0"/>
                <wp:wrapNone/>
                <wp:docPr id="92" name="Frame3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0</wp:posOffset>
                </wp:positionH>
                <wp:positionV relativeFrom="page">
                  <wp:posOffset>0</wp:posOffset>
                </wp:positionV>
                <wp:extent cx="2560320" cy="471805"/>
                <wp:effectExtent l="0" t="0" r="0" b="0"/>
                <wp:wrapNone/>
                <wp:docPr id="93" name="Frame2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0</wp:posOffset>
                </wp:positionH>
                <wp:positionV relativeFrom="page">
                  <wp:posOffset>0</wp:posOffset>
                </wp:positionV>
                <wp:extent cx="2560320" cy="471805"/>
                <wp:effectExtent l="0" t="0" r="0" b="0"/>
                <wp:wrapNone/>
                <wp:docPr id="94" name="Frame2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0</wp:posOffset>
                </wp:positionH>
                <wp:positionV relativeFrom="page">
                  <wp:posOffset>0</wp:posOffset>
                </wp:positionV>
                <wp:extent cx="2560320" cy="471805"/>
                <wp:effectExtent l="0" t="0" r="0" b="0"/>
                <wp:wrapNone/>
                <wp:docPr id="95" name="Frame2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0</wp:posOffset>
                </wp:positionH>
                <wp:positionV relativeFrom="page">
                  <wp:posOffset>0</wp:posOffset>
                </wp:positionV>
                <wp:extent cx="2560320" cy="471805"/>
                <wp:effectExtent l="0" t="0" r="0" b="0"/>
                <wp:wrapNone/>
                <wp:docPr id="96" name="Frame2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0</wp:posOffset>
                </wp:positionH>
                <wp:positionV relativeFrom="page">
                  <wp:posOffset>0</wp:posOffset>
                </wp:positionV>
                <wp:extent cx="2560320" cy="471805"/>
                <wp:effectExtent l="0" t="0" r="0" b="0"/>
                <wp:wrapNone/>
                <wp:docPr id="97" name="Frame2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0</wp:posOffset>
                </wp:positionH>
                <wp:positionV relativeFrom="page">
                  <wp:posOffset>0</wp:posOffset>
                </wp:positionV>
                <wp:extent cx="2560320" cy="471805"/>
                <wp:effectExtent l="0" t="0" r="0" b="0"/>
                <wp:wrapNone/>
                <wp:docPr id="98" name="Frame15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0</wp:posOffset>
                </wp:positionH>
                <wp:positionV relativeFrom="page">
                  <wp:posOffset>0</wp:posOffset>
                </wp:positionV>
                <wp:extent cx="2560320" cy="471805"/>
                <wp:effectExtent l="0" t="0" r="0" b="0"/>
                <wp:wrapNone/>
                <wp:docPr id="99" name="Frame16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0</wp:posOffset>
                </wp:positionH>
                <wp:positionV relativeFrom="page">
                  <wp:posOffset>0</wp:posOffset>
                </wp:positionV>
                <wp:extent cx="2560320" cy="471805"/>
                <wp:effectExtent l="0" t="0" r="0" b="0"/>
                <wp:wrapNone/>
                <wp:docPr id="100" name="Frame16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0</wp:posOffset>
                </wp:positionH>
                <wp:positionV relativeFrom="page">
                  <wp:posOffset>0</wp:posOffset>
                </wp:positionV>
                <wp:extent cx="2560320" cy="471805"/>
                <wp:effectExtent l="0" t="0" r="0" b="0"/>
                <wp:wrapNone/>
                <wp:docPr id="101" name="Frame16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0</wp:posOffset>
                </wp:positionH>
                <wp:positionV relativeFrom="page">
                  <wp:posOffset>0</wp:posOffset>
                </wp:positionV>
                <wp:extent cx="2560320" cy="471805"/>
                <wp:effectExtent l="0" t="0" r="0" b="0"/>
                <wp:wrapNone/>
                <wp:docPr id="102" name="Frame16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0</wp:posOffset>
                </wp:positionH>
                <wp:positionV relativeFrom="page">
                  <wp:posOffset>0</wp:posOffset>
                </wp:positionV>
                <wp:extent cx="2560320" cy="471805"/>
                <wp:effectExtent l="0" t="0" r="0" b="0"/>
                <wp:wrapNone/>
                <wp:docPr id="103" name="Frame16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0</wp:posOffset>
                </wp:positionH>
                <wp:positionV relativeFrom="page">
                  <wp:posOffset>0</wp:posOffset>
                </wp:positionV>
                <wp:extent cx="2560320" cy="471805"/>
                <wp:effectExtent l="0" t="0" r="0" b="0"/>
                <wp:wrapNone/>
                <wp:docPr id="104" name="Frame16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0</wp:posOffset>
                </wp:positionH>
                <wp:positionV relativeFrom="page">
                  <wp:posOffset>0</wp:posOffset>
                </wp:positionV>
                <wp:extent cx="2560320" cy="471805"/>
                <wp:effectExtent l="0" t="0" r="0" b="0"/>
                <wp:wrapNone/>
                <wp:docPr id="105" name="Frame16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0</wp:posOffset>
                </wp:positionH>
                <wp:positionV relativeFrom="page">
                  <wp:posOffset>0</wp:posOffset>
                </wp:positionV>
                <wp:extent cx="2560320" cy="471805"/>
                <wp:effectExtent l="0" t="0" r="0" b="0"/>
                <wp:wrapNone/>
                <wp:docPr id="106" name="Frame16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0</wp:posOffset>
                </wp:positionH>
                <wp:positionV relativeFrom="page">
                  <wp:posOffset>0</wp:posOffset>
                </wp:positionV>
                <wp:extent cx="2560320" cy="471805"/>
                <wp:effectExtent l="0" t="0" r="0" b="0"/>
                <wp:wrapNone/>
                <wp:docPr id="107" name="Frame16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3">
                <wp:simplePos x="0" y="0"/>
                <wp:positionH relativeFrom="page">
                  <wp:posOffset>0</wp:posOffset>
                </wp:positionH>
                <wp:positionV relativeFrom="page">
                  <wp:posOffset>0</wp:posOffset>
                </wp:positionV>
                <wp:extent cx="2560320" cy="471805"/>
                <wp:effectExtent l="0" t="0" r="0" b="0"/>
                <wp:wrapNone/>
                <wp:docPr id="108" name="Frame16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0</wp:posOffset>
                </wp:positionH>
                <wp:positionV relativeFrom="page">
                  <wp:posOffset>0</wp:posOffset>
                </wp:positionV>
                <wp:extent cx="2560320" cy="471805"/>
                <wp:effectExtent l="0" t="0" r="0" b="0"/>
                <wp:wrapNone/>
                <wp:docPr id="109" name="Frame15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0</wp:posOffset>
                </wp:positionH>
                <wp:positionV relativeFrom="page">
                  <wp:posOffset>0</wp:posOffset>
                </wp:positionV>
                <wp:extent cx="2560320" cy="471805"/>
                <wp:effectExtent l="0" t="0" r="0" b="0"/>
                <wp:wrapNone/>
                <wp:docPr id="110" name="Frame15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0</wp:posOffset>
                </wp:positionH>
                <wp:positionV relativeFrom="page">
                  <wp:posOffset>0</wp:posOffset>
                </wp:positionV>
                <wp:extent cx="2560320" cy="471805"/>
                <wp:effectExtent l="0" t="0" r="0" b="0"/>
                <wp:wrapNone/>
                <wp:docPr id="111" name="Frame17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0</wp:posOffset>
                </wp:positionH>
                <wp:positionV relativeFrom="page">
                  <wp:posOffset>0</wp:posOffset>
                </wp:positionV>
                <wp:extent cx="2560320" cy="471805"/>
                <wp:effectExtent l="0" t="0" r="0" b="0"/>
                <wp:wrapNone/>
                <wp:docPr id="112" name="Frame15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0</wp:posOffset>
                </wp:positionH>
                <wp:positionV relativeFrom="page">
                  <wp:posOffset>0</wp:posOffset>
                </wp:positionV>
                <wp:extent cx="2560320" cy="471805"/>
                <wp:effectExtent l="0" t="0" r="0" b="0"/>
                <wp:wrapNone/>
                <wp:docPr id="113" name="Frame15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0</wp:posOffset>
                </wp:positionH>
                <wp:positionV relativeFrom="page">
                  <wp:posOffset>0</wp:posOffset>
                </wp:positionV>
                <wp:extent cx="2560320" cy="471805"/>
                <wp:effectExtent l="0" t="0" r="0" b="0"/>
                <wp:wrapNone/>
                <wp:docPr id="114" name="Frame15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0</wp:posOffset>
                </wp:positionH>
                <wp:positionV relativeFrom="page">
                  <wp:posOffset>0</wp:posOffset>
                </wp:positionV>
                <wp:extent cx="2560320" cy="471805"/>
                <wp:effectExtent l="0" t="0" r="0" b="0"/>
                <wp:wrapNone/>
                <wp:docPr id="115" name="Frame15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0</wp:posOffset>
                </wp:positionH>
                <wp:positionV relativeFrom="page">
                  <wp:posOffset>0</wp:posOffset>
                </wp:positionV>
                <wp:extent cx="2560320" cy="471805"/>
                <wp:effectExtent l="0" t="0" r="0" b="0"/>
                <wp:wrapNone/>
                <wp:docPr id="116" name="Frame15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0</wp:posOffset>
                </wp:positionH>
                <wp:positionV relativeFrom="page">
                  <wp:posOffset>0</wp:posOffset>
                </wp:positionV>
                <wp:extent cx="2560320" cy="471805"/>
                <wp:effectExtent l="0" t="0" r="0" b="0"/>
                <wp:wrapNone/>
                <wp:docPr id="117" name="Frame15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0</wp:posOffset>
                </wp:positionH>
                <wp:positionV relativeFrom="page">
                  <wp:posOffset>0</wp:posOffset>
                </wp:positionV>
                <wp:extent cx="2560320" cy="471805"/>
                <wp:effectExtent l="0" t="0" r="0" b="0"/>
                <wp:wrapNone/>
                <wp:docPr id="118" name="Frame15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0</wp:posOffset>
                </wp:positionH>
                <wp:positionV relativeFrom="page">
                  <wp:posOffset>0</wp:posOffset>
                </wp:positionV>
                <wp:extent cx="2560320" cy="471805"/>
                <wp:effectExtent l="0" t="0" r="0" b="0"/>
                <wp:wrapNone/>
                <wp:docPr id="119" name="Frame14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0</wp:posOffset>
                </wp:positionH>
                <wp:positionV relativeFrom="page">
                  <wp:posOffset>0</wp:posOffset>
                </wp:positionV>
                <wp:extent cx="2560320" cy="471805"/>
                <wp:effectExtent l="0" t="0" r="0" b="0"/>
                <wp:wrapNone/>
                <wp:docPr id="120" name="Frame14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0</wp:posOffset>
                </wp:positionH>
                <wp:positionV relativeFrom="page">
                  <wp:posOffset>0</wp:posOffset>
                </wp:positionV>
                <wp:extent cx="2560320" cy="471805"/>
                <wp:effectExtent l="0" t="0" r="0" b="0"/>
                <wp:wrapNone/>
                <wp:docPr id="121" name="Frame14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0</wp:posOffset>
                </wp:positionH>
                <wp:positionV relativeFrom="page">
                  <wp:posOffset>0</wp:posOffset>
                </wp:positionV>
                <wp:extent cx="2560320" cy="471805"/>
                <wp:effectExtent l="0" t="0" r="0" b="0"/>
                <wp:wrapNone/>
                <wp:docPr id="122" name="Frame14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0</wp:posOffset>
                </wp:positionH>
                <wp:positionV relativeFrom="page">
                  <wp:posOffset>0</wp:posOffset>
                </wp:positionV>
                <wp:extent cx="2560320" cy="471805"/>
                <wp:effectExtent l="0" t="0" r="0" b="0"/>
                <wp:wrapNone/>
                <wp:docPr id="123" name="Frame18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0</wp:posOffset>
                </wp:positionH>
                <wp:positionV relativeFrom="page">
                  <wp:posOffset>0</wp:posOffset>
                </wp:positionV>
                <wp:extent cx="2560320" cy="471805"/>
                <wp:effectExtent l="0" t="0" r="0" b="0"/>
                <wp:wrapNone/>
                <wp:docPr id="124" name="Frame19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0</wp:posOffset>
                </wp:positionH>
                <wp:positionV relativeFrom="page">
                  <wp:posOffset>0</wp:posOffset>
                </wp:positionV>
                <wp:extent cx="2560320" cy="471805"/>
                <wp:effectExtent l="0" t="0" r="0" b="0"/>
                <wp:wrapNone/>
                <wp:docPr id="125" name="Frame19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0</wp:posOffset>
                </wp:positionH>
                <wp:positionV relativeFrom="page">
                  <wp:posOffset>0</wp:posOffset>
                </wp:positionV>
                <wp:extent cx="2560320" cy="471805"/>
                <wp:effectExtent l="0" t="0" r="0" b="0"/>
                <wp:wrapNone/>
                <wp:docPr id="126" name="Frame19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0</wp:posOffset>
                </wp:positionH>
                <wp:positionV relativeFrom="page">
                  <wp:posOffset>0</wp:posOffset>
                </wp:positionV>
                <wp:extent cx="2560320" cy="471805"/>
                <wp:effectExtent l="0" t="0" r="0" b="0"/>
                <wp:wrapNone/>
                <wp:docPr id="127" name="Frame19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0</wp:posOffset>
                </wp:positionH>
                <wp:positionV relativeFrom="page">
                  <wp:posOffset>0</wp:posOffset>
                </wp:positionV>
                <wp:extent cx="2560320" cy="471805"/>
                <wp:effectExtent l="0" t="0" r="0" b="0"/>
                <wp:wrapNone/>
                <wp:docPr id="128" name="Frame18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0</wp:posOffset>
                </wp:positionH>
                <wp:positionV relativeFrom="page">
                  <wp:posOffset>0</wp:posOffset>
                </wp:positionV>
                <wp:extent cx="2560320" cy="471805"/>
                <wp:effectExtent l="0" t="0" r="0" b="0"/>
                <wp:wrapNone/>
                <wp:docPr id="129" name="Frame18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0</wp:posOffset>
                </wp:positionH>
                <wp:positionV relativeFrom="page">
                  <wp:posOffset>0</wp:posOffset>
                </wp:positionV>
                <wp:extent cx="2560320" cy="471805"/>
                <wp:effectExtent l="0" t="0" r="0" b="0"/>
                <wp:wrapNone/>
                <wp:docPr id="130" name="Frame18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0</wp:posOffset>
                </wp:positionH>
                <wp:positionV relativeFrom="page">
                  <wp:posOffset>0</wp:posOffset>
                </wp:positionV>
                <wp:extent cx="2560320" cy="471805"/>
                <wp:effectExtent l="0" t="0" r="0" b="0"/>
                <wp:wrapNone/>
                <wp:docPr id="131" name="Frame18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0</wp:posOffset>
                </wp:positionH>
                <wp:positionV relativeFrom="page">
                  <wp:posOffset>0</wp:posOffset>
                </wp:positionV>
                <wp:extent cx="2560320" cy="471805"/>
                <wp:effectExtent l="0" t="0" r="0" b="0"/>
                <wp:wrapNone/>
                <wp:docPr id="132" name="Frame18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0</wp:posOffset>
                </wp:positionH>
                <wp:positionV relativeFrom="page">
                  <wp:posOffset>0</wp:posOffset>
                </wp:positionV>
                <wp:extent cx="2560320" cy="471805"/>
                <wp:effectExtent l="0" t="0" r="0" b="0"/>
                <wp:wrapNone/>
                <wp:docPr id="133" name="Frame18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0</wp:posOffset>
                </wp:positionH>
                <wp:positionV relativeFrom="page">
                  <wp:posOffset>0</wp:posOffset>
                </wp:positionV>
                <wp:extent cx="2560320" cy="471805"/>
                <wp:effectExtent l="0" t="0" r="0" b="0"/>
                <wp:wrapNone/>
                <wp:docPr id="134" name="Frame18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0</wp:posOffset>
                </wp:positionH>
                <wp:positionV relativeFrom="page">
                  <wp:posOffset>0</wp:posOffset>
                </wp:positionV>
                <wp:extent cx="2560320" cy="471805"/>
                <wp:effectExtent l="0" t="0" r="0" b="0"/>
                <wp:wrapNone/>
                <wp:docPr id="135" name="Frame14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0</wp:posOffset>
                </wp:positionH>
                <wp:positionV relativeFrom="page">
                  <wp:posOffset>0</wp:posOffset>
                </wp:positionV>
                <wp:extent cx="2560320" cy="471805"/>
                <wp:effectExtent l="0" t="0" r="0" b="0"/>
                <wp:wrapNone/>
                <wp:docPr id="136" name="Frame18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0</wp:posOffset>
                </wp:positionH>
                <wp:positionV relativeFrom="page">
                  <wp:posOffset>0</wp:posOffset>
                </wp:positionV>
                <wp:extent cx="2560320" cy="471805"/>
                <wp:effectExtent l="0" t="0" r="0" b="0"/>
                <wp:wrapNone/>
                <wp:docPr id="137" name="Frame18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0</wp:posOffset>
                </wp:positionH>
                <wp:positionV relativeFrom="page">
                  <wp:posOffset>0</wp:posOffset>
                </wp:positionV>
                <wp:extent cx="2560320" cy="471805"/>
                <wp:effectExtent l="0" t="0" r="0" b="0"/>
                <wp:wrapNone/>
                <wp:docPr id="138" name="Frame17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0</wp:posOffset>
                </wp:positionH>
                <wp:positionV relativeFrom="page">
                  <wp:posOffset>0</wp:posOffset>
                </wp:positionV>
                <wp:extent cx="2560320" cy="471805"/>
                <wp:effectExtent l="0" t="0" r="0" b="0"/>
                <wp:wrapNone/>
                <wp:docPr id="139" name="Frame17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0</wp:posOffset>
                </wp:positionH>
                <wp:positionV relativeFrom="page">
                  <wp:posOffset>0</wp:posOffset>
                </wp:positionV>
                <wp:extent cx="2560320" cy="471805"/>
                <wp:effectExtent l="0" t="0" r="0" b="0"/>
                <wp:wrapNone/>
                <wp:docPr id="140" name="Frame17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0</wp:posOffset>
                </wp:positionH>
                <wp:positionV relativeFrom="page">
                  <wp:posOffset>0</wp:posOffset>
                </wp:positionV>
                <wp:extent cx="2560320" cy="471805"/>
                <wp:effectExtent l="0" t="0" r="0" b="0"/>
                <wp:wrapNone/>
                <wp:docPr id="141" name="Frame17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0</wp:posOffset>
                </wp:positionH>
                <wp:positionV relativeFrom="page">
                  <wp:posOffset>0</wp:posOffset>
                </wp:positionV>
                <wp:extent cx="2560320" cy="471805"/>
                <wp:effectExtent l="0" t="0" r="0" b="0"/>
                <wp:wrapNone/>
                <wp:docPr id="142" name="Frame17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0</wp:posOffset>
                </wp:positionH>
                <wp:positionV relativeFrom="page">
                  <wp:posOffset>0</wp:posOffset>
                </wp:positionV>
                <wp:extent cx="2560320" cy="471805"/>
                <wp:effectExtent l="0" t="0" r="0" b="0"/>
                <wp:wrapNone/>
                <wp:docPr id="143" name="Frame17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0</wp:posOffset>
                </wp:positionH>
                <wp:positionV relativeFrom="page">
                  <wp:posOffset>0</wp:posOffset>
                </wp:positionV>
                <wp:extent cx="2560320" cy="471805"/>
                <wp:effectExtent l="0" t="0" r="0" b="0"/>
                <wp:wrapNone/>
                <wp:docPr id="144" name="Frame17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0</wp:posOffset>
                </wp:positionH>
                <wp:positionV relativeFrom="page">
                  <wp:posOffset>0</wp:posOffset>
                </wp:positionV>
                <wp:extent cx="2560320" cy="471805"/>
                <wp:effectExtent l="0" t="0" r="0" b="0"/>
                <wp:wrapNone/>
                <wp:docPr id="145" name="Frame17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0</wp:posOffset>
                </wp:positionH>
                <wp:positionV relativeFrom="page">
                  <wp:posOffset>0</wp:posOffset>
                </wp:positionV>
                <wp:extent cx="2560320" cy="471805"/>
                <wp:effectExtent l="0" t="0" r="0" b="0"/>
                <wp:wrapNone/>
                <wp:docPr id="146" name="Frame17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2">
                <wp:simplePos x="0" y="0"/>
                <wp:positionH relativeFrom="page">
                  <wp:posOffset>0</wp:posOffset>
                </wp:positionH>
                <wp:positionV relativeFrom="page">
                  <wp:posOffset>0</wp:posOffset>
                </wp:positionV>
                <wp:extent cx="2560320" cy="471805"/>
                <wp:effectExtent l="0" t="0" r="0" b="0"/>
                <wp:wrapNone/>
                <wp:docPr id="147" name="Frame10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0</wp:posOffset>
                </wp:positionH>
                <wp:positionV relativeFrom="page">
                  <wp:posOffset>0</wp:posOffset>
                </wp:positionV>
                <wp:extent cx="2560320" cy="471805"/>
                <wp:effectExtent l="0" t="0" r="0" b="0"/>
                <wp:wrapNone/>
                <wp:docPr id="148" name="Frame12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0</wp:posOffset>
                </wp:positionH>
                <wp:positionV relativeFrom="page">
                  <wp:posOffset>0</wp:posOffset>
                </wp:positionV>
                <wp:extent cx="2560320" cy="471805"/>
                <wp:effectExtent l="0" t="0" r="0" b="0"/>
                <wp:wrapNone/>
                <wp:docPr id="149" name="Frame11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0</wp:posOffset>
                </wp:positionH>
                <wp:positionV relativeFrom="page">
                  <wp:posOffset>0</wp:posOffset>
                </wp:positionV>
                <wp:extent cx="2560320" cy="471805"/>
                <wp:effectExtent l="0" t="0" r="0" b="0"/>
                <wp:wrapNone/>
                <wp:docPr id="150" name="Frame11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0">
                <wp:simplePos x="0" y="0"/>
                <wp:positionH relativeFrom="page">
                  <wp:posOffset>0</wp:posOffset>
                </wp:positionH>
                <wp:positionV relativeFrom="page">
                  <wp:posOffset>0</wp:posOffset>
                </wp:positionV>
                <wp:extent cx="2560320" cy="471805"/>
                <wp:effectExtent l="0" t="0" r="0" b="0"/>
                <wp:wrapNone/>
                <wp:docPr id="151" name="Frame11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0</wp:posOffset>
                </wp:positionH>
                <wp:positionV relativeFrom="page">
                  <wp:posOffset>0</wp:posOffset>
                </wp:positionV>
                <wp:extent cx="2560320" cy="471805"/>
                <wp:effectExtent l="0" t="0" r="0" b="0"/>
                <wp:wrapNone/>
                <wp:docPr id="152" name="Frame11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0</wp:posOffset>
                </wp:positionH>
                <wp:positionV relativeFrom="page">
                  <wp:posOffset>0</wp:posOffset>
                </wp:positionV>
                <wp:extent cx="2560320" cy="471805"/>
                <wp:effectExtent l="0" t="0" r="0" b="0"/>
                <wp:wrapNone/>
                <wp:docPr id="153" name="Frame11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0</wp:posOffset>
                </wp:positionH>
                <wp:positionV relativeFrom="page">
                  <wp:posOffset>0</wp:posOffset>
                </wp:positionV>
                <wp:extent cx="2560320" cy="471805"/>
                <wp:effectExtent l="0" t="0" r="0" b="0"/>
                <wp:wrapNone/>
                <wp:docPr id="154" name="Frame11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0</wp:posOffset>
                </wp:positionH>
                <wp:positionV relativeFrom="page">
                  <wp:posOffset>0</wp:posOffset>
                </wp:positionV>
                <wp:extent cx="2560320" cy="471805"/>
                <wp:effectExtent l="0" t="0" r="0" b="0"/>
                <wp:wrapNone/>
                <wp:docPr id="155" name="Frame11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0</wp:posOffset>
                </wp:positionH>
                <wp:positionV relativeFrom="page">
                  <wp:posOffset>0</wp:posOffset>
                </wp:positionV>
                <wp:extent cx="2560320" cy="471805"/>
                <wp:effectExtent l="0" t="0" r="0" b="0"/>
                <wp:wrapNone/>
                <wp:docPr id="156" name="Frame11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4">
                <wp:simplePos x="0" y="0"/>
                <wp:positionH relativeFrom="page">
                  <wp:posOffset>0</wp:posOffset>
                </wp:positionH>
                <wp:positionV relativeFrom="page">
                  <wp:posOffset>0</wp:posOffset>
                </wp:positionV>
                <wp:extent cx="2560320" cy="471805"/>
                <wp:effectExtent l="0" t="0" r="0" b="0"/>
                <wp:wrapNone/>
                <wp:docPr id="157" name="Frame11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0</wp:posOffset>
                </wp:positionH>
                <wp:positionV relativeFrom="page">
                  <wp:posOffset>0</wp:posOffset>
                </wp:positionV>
                <wp:extent cx="2560320" cy="471805"/>
                <wp:effectExtent l="0" t="0" r="0" b="0"/>
                <wp:wrapNone/>
                <wp:docPr id="158" name="Frame11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0</wp:posOffset>
                </wp:positionH>
                <wp:positionV relativeFrom="page">
                  <wp:posOffset>0</wp:posOffset>
                </wp:positionV>
                <wp:extent cx="2560320" cy="471805"/>
                <wp:effectExtent l="0" t="0" r="0" b="0"/>
                <wp:wrapNone/>
                <wp:docPr id="159" name="Frame12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0</wp:posOffset>
                </wp:positionH>
                <wp:positionV relativeFrom="page">
                  <wp:posOffset>0</wp:posOffset>
                </wp:positionV>
                <wp:extent cx="2560320" cy="471805"/>
                <wp:effectExtent l="0" t="0" r="0" b="0"/>
                <wp:wrapNone/>
                <wp:docPr id="160" name="Frame10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0">
                <wp:simplePos x="0" y="0"/>
                <wp:positionH relativeFrom="page">
                  <wp:posOffset>0</wp:posOffset>
                </wp:positionH>
                <wp:positionV relativeFrom="page">
                  <wp:posOffset>0</wp:posOffset>
                </wp:positionV>
                <wp:extent cx="2560320" cy="471805"/>
                <wp:effectExtent l="0" t="0" r="0" b="0"/>
                <wp:wrapNone/>
                <wp:docPr id="161" name="Frame10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0</wp:posOffset>
                </wp:positionH>
                <wp:positionV relativeFrom="page">
                  <wp:posOffset>0</wp:posOffset>
                </wp:positionV>
                <wp:extent cx="2560320" cy="471805"/>
                <wp:effectExtent l="0" t="0" r="0" b="0"/>
                <wp:wrapNone/>
                <wp:docPr id="162" name="Frame10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8">
                <wp:simplePos x="0" y="0"/>
                <wp:positionH relativeFrom="page">
                  <wp:posOffset>0</wp:posOffset>
                </wp:positionH>
                <wp:positionV relativeFrom="page">
                  <wp:posOffset>0</wp:posOffset>
                </wp:positionV>
                <wp:extent cx="2560320" cy="471805"/>
                <wp:effectExtent l="0" t="0" r="0" b="0"/>
                <wp:wrapNone/>
                <wp:docPr id="163" name="Frame10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0</wp:posOffset>
                </wp:positionH>
                <wp:positionV relativeFrom="page">
                  <wp:posOffset>0</wp:posOffset>
                </wp:positionV>
                <wp:extent cx="2560320" cy="471805"/>
                <wp:effectExtent l="0" t="0" r="0" b="0"/>
                <wp:wrapNone/>
                <wp:docPr id="164" name="Frame10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6">
                <wp:simplePos x="0" y="0"/>
                <wp:positionH relativeFrom="page">
                  <wp:posOffset>0</wp:posOffset>
                </wp:positionH>
                <wp:positionV relativeFrom="page">
                  <wp:posOffset>0</wp:posOffset>
                </wp:positionV>
                <wp:extent cx="2560320" cy="471805"/>
                <wp:effectExtent l="0" t="0" r="0" b="0"/>
                <wp:wrapNone/>
                <wp:docPr id="165" name="Frame10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0</wp:posOffset>
                </wp:positionH>
                <wp:positionV relativeFrom="page">
                  <wp:posOffset>0</wp:posOffset>
                </wp:positionV>
                <wp:extent cx="2560320" cy="471805"/>
                <wp:effectExtent l="0" t="0" r="0" b="0"/>
                <wp:wrapNone/>
                <wp:docPr id="166" name="Frame10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0</wp:posOffset>
                </wp:positionH>
                <wp:positionV relativeFrom="page">
                  <wp:posOffset>0</wp:posOffset>
                </wp:positionV>
                <wp:extent cx="2560320" cy="471805"/>
                <wp:effectExtent l="0" t="0" r="0" b="0"/>
                <wp:wrapNone/>
                <wp:docPr id="167" name="Frame10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0</wp:posOffset>
                </wp:positionH>
                <wp:positionV relativeFrom="page">
                  <wp:posOffset>0</wp:posOffset>
                </wp:positionV>
                <wp:extent cx="2560320" cy="471805"/>
                <wp:effectExtent l="0" t="0" r="0" b="0"/>
                <wp:wrapNone/>
                <wp:docPr id="168" name="Frame10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2">
                <wp:simplePos x="0" y="0"/>
                <wp:positionH relativeFrom="page">
                  <wp:posOffset>0</wp:posOffset>
                </wp:positionH>
                <wp:positionV relativeFrom="page">
                  <wp:posOffset>0</wp:posOffset>
                </wp:positionV>
                <wp:extent cx="2560320" cy="471805"/>
                <wp:effectExtent l="0" t="0" r="0" b="0"/>
                <wp:wrapNone/>
                <wp:docPr id="169" name="Frame9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0</wp:posOffset>
                </wp:positionH>
                <wp:positionV relativeFrom="page">
                  <wp:posOffset>0</wp:posOffset>
                </wp:positionV>
                <wp:extent cx="2560320" cy="471805"/>
                <wp:effectExtent l="0" t="0" r="0" b="0"/>
                <wp:wrapNone/>
                <wp:docPr id="170" name="Frame9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0</wp:posOffset>
                </wp:positionH>
                <wp:positionV relativeFrom="page">
                  <wp:posOffset>0</wp:posOffset>
                </wp:positionV>
                <wp:extent cx="2560320" cy="471805"/>
                <wp:effectExtent l="0" t="0" r="0" b="0"/>
                <wp:wrapNone/>
                <wp:docPr id="171" name="Frame13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0</wp:posOffset>
                </wp:positionH>
                <wp:positionV relativeFrom="page">
                  <wp:posOffset>0</wp:posOffset>
                </wp:positionV>
                <wp:extent cx="2560320" cy="471805"/>
                <wp:effectExtent l="0" t="0" r="0" b="0"/>
                <wp:wrapNone/>
                <wp:docPr id="172" name="Frame14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0</wp:posOffset>
                </wp:positionH>
                <wp:positionV relativeFrom="page">
                  <wp:posOffset>0</wp:posOffset>
                </wp:positionV>
                <wp:extent cx="2560320" cy="471805"/>
                <wp:effectExtent l="0" t="0" r="0" b="0"/>
                <wp:wrapNone/>
                <wp:docPr id="173" name="Frame14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0</wp:posOffset>
                </wp:positionH>
                <wp:positionV relativeFrom="page">
                  <wp:posOffset>0</wp:posOffset>
                </wp:positionV>
                <wp:extent cx="2560320" cy="471805"/>
                <wp:effectExtent l="0" t="0" r="0" b="0"/>
                <wp:wrapNone/>
                <wp:docPr id="174" name="Frame14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0</wp:posOffset>
                </wp:positionH>
                <wp:positionV relativeFrom="page">
                  <wp:posOffset>0</wp:posOffset>
                </wp:positionV>
                <wp:extent cx="2560320" cy="471805"/>
                <wp:effectExtent l="0" t="0" r="0" b="0"/>
                <wp:wrapNone/>
                <wp:docPr id="175" name="Frame14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0</wp:posOffset>
                </wp:positionH>
                <wp:positionV relativeFrom="page">
                  <wp:posOffset>0</wp:posOffset>
                </wp:positionV>
                <wp:extent cx="2560320" cy="471805"/>
                <wp:effectExtent l="0" t="0" r="0" b="0"/>
                <wp:wrapNone/>
                <wp:docPr id="176" name="Frame14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0</wp:posOffset>
                </wp:positionH>
                <wp:positionV relativeFrom="page">
                  <wp:posOffset>0</wp:posOffset>
                </wp:positionV>
                <wp:extent cx="2560320" cy="471805"/>
                <wp:effectExtent l="0" t="0" r="0" b="0"/>
                <wp:wrapNone/>
                <wp:docPr id="177" name="Frame13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0</wp:posOffset>
                </wp:positionH>
                <wp:positionV relativeFrom="page">
                  <wp:posOffset>0</wp:posOffset>
                </wp:positionV>
                <wp:extent cx="2560320" cy="471805"/>
                <wp:effectExtent l="0" t="0" r="0" b="0"/>
                <wp:wrapNone/>
                <wp:docPr id="178" name="Frame13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0</wp:posOffset>
                </wp:positionH>
                <wp:positionV relativeFrom="page">
                  <wp:posOffset>0</wp:posOffset>
                </wp:positionV>
                <wp:extent cx="2560320" cy="471805"/>
                <wp:effectExtent l="0" t="0" r="0" b="0"/>
                <wp:wrapNone/>
                <wp:docPr id="179" name="Frame13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0</wp:posOffset>
                </wp:positionH>
                <wp:positionV relativeFrom="page">
                  <wp:posOffset>0</wp:posOffset>
                </wp:positionV>
                <wp:extent cx="2560320" cy="471805"/>
                <wp:effectExtent l="0" t="0" r="0" b="0"/>
                <wp:wrapNone/>
                <wp:docPr id="180" name="Frame13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0</wp:posOffset>
                </wp:positionH>
                <wp:positionV relativeFrom="page">
                  <wp:posOffset>0</wp:posOffset>
                </wp:positionV>
                <wp:extent cx="2560320" cy="471805"/>
                <wp:effectExtent l="0" t="0" r="0" b="0"/>
                <wp:wrapNone/>
                <wp:docPr id="181" name="Frame13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0</wp:posOffset>
                </wp:positionH>
                <wp:positionV relativeFrom="page">
                  <wp:posOffset>0</wp:posOffset>
                </wp:positionV>
                <wp:extent cx="2560320" cy="471805"/>
                <wp:effectExtent l="0" t="0" r="0" b="0"/>
                <wp:wrapNone/>
                <wp:docPr id="182" name="Frame13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0</wp:posOffset>
                </wp:positionH>
                <wp:positionV relativeFrom="page">
                  <wp:posOffset>0</wp:posOffset>
                </wp:positionV>
                <wp:extent cx="2560320" cy="471805"/>
                <wp:effectExtent l="0" t="0" r="0" b="0"/>
                <wp:wrapNone/>
                <wp:docPr id="183" name="Frame19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0</wp:posOffset>
                </wp:positionH>
                <wp:positionV relativeFrom="page">
                  <wp:posOffset>0</wp:posOffset>
                </wp:positionV>
                <wp:extent cx="2560320" cy="471805"/>
                <wp:effectExtent l="0" t="0" r="0" b="0"/>
                <wp:wrapNone/>
                <wp:docPr id="184" name="Frame13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0</wp:posOffset>
                </wp:positionH>
                <wp:positionV relativeFrom="page">
                  <wp:posOffset>0</wp:posOffset>
                </wp:positionV>
                <wp:extent cx="2560320" cy="471805"/>
                <wp:effectExtent l="0" t="0" r="0" b="0"/>
                <wp:wrapNone/>
                <wp:docPr id="185" name="Frame13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0</wp:posOffset>
                </wp:positionH>
                <wp:positionV relativeFrom="page">
                  <wp:posOffset>0</wp:posOffset>
                </wp:positionV>
                <wp:extent cx="2560320" cy="471805"/>
                <wp:effectExtent l="0" t="0" r="0" b="0"/>
                <wp:wrapNone/>
                <wp:docPr id="186" name="Frame13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2">
                <wp:simplePos x="0" y="0"/>
                <wp:positionH relativeFrom="page">
                  <wp:posOffset>0</wp:posOffset>
                </wp:positionH>
                <wp:positionV relativeFrom="page">
                  <wp:posOffset>0</wp:posOffset>
                </wp:positionV>
                <wp:extent cx="2560320" cy="471805"/>
                <wp:effectExtent l="0" t="0" r="0" b="0"/>
                <wp:wrapNone/>
                <wp:docPr id="187" name="Frame12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0</wp:posOffset>
                </wp:positionH>
                <wp:positionV relativeFrom="page">
                  <wp:posOffset>0</wp:posOffset>
                </wp:positionV>
                <wp:extent cx="2560320" cy="471805"/>
                <wp:effectExtent l="0" t="0" r="0" b="0"/>
                <wp:wrapNone/>
                <wp:docPr id="188" name="Frame12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0</wp:posOffset>
                </wp:positionH>
                <wp:positionV relativeFrom="page">
                  <wp:posOffset>0</wp:posOffset>
                </wp:positionV>
                <wp:extent cx="2560320" cy="471805"/>
                <wp:effectExtent l="0" t="0" r="0" b="0"/>
                <wp:wrapNone/>
                <wp:docPr id="189" name="Frame12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0</wp:posOffset>
                </wp:positionH>
                <wp:positionV relativeFrom="page">
                  <wp:posOffset>0</wp:posOffset>
                </wp:positionV>
                <wp:extent cx="2560320" cy="471805"/>
                <wp:effectExtent l="0" t="0" r="0" b="0"/>
                <wp:wrapNone/>
                <wp:docPr id="190" name="Frame12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8">
                <wp:simplePos x="0" y="0"/>
                <wp:positionH relativeFrom="page">
                  <wp:posOffset>0</wp:posOffset>
                </wp:positionH>
                <wp:positionV relativeFrom="page">
                  <wp:posOffset>0</wp:posOffset>
                </wp:positionV>
                <wp:extent cx="2560320" cy="471805"/>
                <wp:effectExtent l="0" t="0" r="0" b="0"/>
                <wp:wrapNone/>
                <wp:docPr id="191" name="Frame12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0</wp:posOffset>
                </wp:positionH>
                <wp:positionV relativeFrom="page">
                  <wp:posOffset>0</wp:posOffset>
                </wp:positionV>
                <wp:extent cx="2560320" cy="471805"/>
                <wp:effectExtent l="0" t="0" r="0" b="0"/>
                <wp:wrapNone/>
                <wp:docPr id="192" name="Frame12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0</wp:posOffset>
                </wp:positionH>
                <wp:positionV relativeFrom="page">
                  <wp:posOffset>0</wp:posOffset>
                </wp:positionV>
                <wp:extent cx="2560320" cy="471805"/>
                <wp:effectExtent l="0" t="0" r="0" b="0"/>
                <wp:wrapNone/>
                <wp:docPr id="193" name="Frame12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0</wp:posOffset>
                </wp:positionH>
                <wp:positionV relativeFrom="page">
                  <wp:posOffset>0</wp:posOffset>
                </wp:positionV>
                <wp:extent cx="2560320" cy="471805"/>
                <wp:effectExtent l="0" t="0" r="0" b="0"/>
                <wp:wrapNone/>
                <wp:docPr id="194" name="Frame12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190712165.7</w:t>
                      </w:r>
                    </w:p>
                    <w:p>
                      <w:pPr>
                        <w:pStyle w:val="TextBody"/>
                        <w:bidi w:val="0"/>
                        <w:spacing w:before="0" w:after="283"/>
                        <w:jc w:val="left"/>
                        <w:rPr/>
                      </w:pPr>
                      <w:r>
                        <w:rPr/>
                        <w:t> </w:t>
                      </w:r>
                    </w:p>
                  </w:txbxContent>
                </v:textbox>
                <w10:wrap type="none"/>
              </v:rect>
            </w:pict>
          </mc:Fallback>
        </mc:AlternateConten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January 31, 2026</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16"/>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001-42434</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ServiceTitan,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8" w:space="1" w:color="000000"/>
        </w:pBdr>
        <w:bidi w:val="0"/>
        <w:jc w:val="center"/>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26-0331862</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800 N. Brand Blvd.</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Suite 100</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Glendale, California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91203</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Registrant’s telephone number, including area code: (855)</w:t>
      </w:r>
      <w:r>
        <w:rPr>
          <w:rFonts w:ascii="Times New Roman" w:hAnsi="Times New Roman"/>
          <w:color w:val="000000"/>
          <w:sz w:val="20"/>
        </w:rPr>
        <w:t xml:space="preserve"> </w:t>
      </w:r>
      <w:r>
        <w:rPr>
          <w:rFonts w:ascii="Times New Roman" w:hAnsi="Times New Roman"/>
          <w:b/>
          <w:color w:val="000000"/>
          <w:sz w:val="16"/>
        </w:rPr>
        <w:t>899-0970</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3"/>
        </w:rPr>
      </w:pPr>
      <w:r>
        <w:rPr>
          <w:rFonts w:ascii="Times New Roman" w:hAnsi="Times New Roman"/>
          <w:color w:val="000000"/>
          <w:sz w:val="13"/>
        </w:rPr>
        <w:t>Securities registered pursuant to Section 12(b) of the Act:</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3706"/>
        <w:gridCol w:w="146"/>
        <w:gridCol w:w="706"/>
        <w:gridCol w:w="146"/>
        <w:gridCol w:w="270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TTAN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3"/>
        </w:rPr>
        <w:t xml:space="preserve">Securities registered pursuant to Section 12(g) of the Act: </w:t>
      </w:r>
      <w:r>
        <w:rPr>
          <w:rFonts w:ascii="Times New Roman" w:hAnsi="Times New Roman"/>
          <w:b/>
          <w:color w:val="000000"/>
          <w:sz w:val="13"/>
        </w:rPr>
        <w:t>None</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if the registrant is a well-known seasoned issuer, as defined in Rule 405 of the Securities Act.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if the registrant is not required to file reports pursuant to Section 13 or 15(d) of the Act.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3"/>
        </w:rPr>
        <w:t xml:space="preserve">Indicate by check mark whether the registrant is a shell company (as defined in Rule 12b-2 of the Exchange Act). </w:t>
      </w:r>
      <w:r>
        <w:rPr>
          <w:rFonts w:ascii="Times New Roman" w:hAnsi="Times New Roman"/>
          <w:caps/>
          <w:color w:val="000000"/>
          <w:sz w:val="13"/>
        </w:rPr>
        <w:t>Yes</w:t>
      </w:r>
      <w:r>
        <w:rPr>
          <w:rFonts w:ascii="Times New Roman" w:hAnsi="Times New Roman"/>
          <w:color w:val="000000"/>
          <w:sz w:val="20"/>
        </w:rPr>
        <w:t xml:space="preserve"> ☐ </w:t>
      </w:r>
      <w:r>
        <w:rPr>
          <w:rFonts w:ascii="Times New Roman" w:hAnsi="Times New Roman"/>
          <w:caps/>
          <w:color w:val="000000"/>
          <w:sz w:val="13"/>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3"/>
        </w:rPr>
        <w:t>The aggregate market value of the shares of common stock held by non-affiliates of the registrant, based on the closing price of the registrant’s shares of common stock on The Nasdaq Global Market on July 31, 2025 (the last business day of the registrant’s second fiscal quarter), was approximately $6,046.6</w:t>
      </w:r>
      <w:r>
        <w:rPr>
          <w:rFonts w:ascii="Times New Roman" w:hAnsi="Times New Roman"/>
          <w:color w:val="000000"/>
          <w:sz w:val="20"/>
        </w:rPr>
        <w:t xml:space="preserve"> </w:t>
      </w:r>
      <w:r>
        <w:rPr>
          <w:rFonts w:ascii="Times New Roman" w:hAnsi="Times New Roman"/>
          <w:color w:val="000000"/>
          <w:sz w:val="13"/>
        </w:rPr>
        <w:t>million.</w:t>
      </w:r>
    </w:p>
    <w:p>
      <w:pPr>
        <w:pStyle w:val="TextBody"/>
        <w:bidi w:val="0"/>
        <w:spacing w:before="60" w:after="283"/>
        <w:jc w:val="left"/>
        <w:rPr>
          <w:rFonts w:ascii="Times New Roman" w:hAnsi="Times New Roman"/>
          <w:sz w:val="20"/>
        </w:rPr>
      </w:pPr>
      <w:r>
        <w:rPr>
          <w:rFonts w:ascii="Times New Roman" w:hAnsi="Times New Roman"/>
          <w:color w:val="000000"/>
          <w:sz w:val="13"/>
        </w:rPr>
        <w:t>As of March 16, 2026,</w:t>
      </w:r>
      <w:r>
        <w:rPr>
          <w:rFonts w:ascii="Times New Roman" w:hAnsi="Times New Roman"/>
          <w:color w:val="000000"/>
          <w:sz w:val="20"/>
        </w:rPr>
        <w:t xml:space="preserve"> </w:t>
      </w:r>
      <w:r>
        <w:rPr>
          <w:rFonts w:ascii="Times New Roman" w:hAnsi="Times New Roman"/>
          <w:color w:val="000000"/>
          <w:sz w:val="13"/>
        </w:rPr>
        <w:t>82,610,069</w:t>
      </w:r>
      <w:r>
        <w:rPr>
          <w:rFonts w:ascii="Times New Roman" w:hAnsi="Times New Roman"/>
          <w:color w:val="000000"/>
          <w:sz w:val="20"/>
        </w:rPr>
        <w:t xml:space="preserve"> </w:t>
      </w:r>
      <w:r>
        <w:rPr>
          <w:rFonts w:ascii="Times New Roman" w:hAnsi="Times New Roman"/>
          <w:color w:val="000000"/>
          <w:sz w:val="13"/>
        </w:rPr>
        <w:t>shares of the registrant’s Class A common stock were outstanding, 12,651,154</w:t>
      </w:r>
      <w:r>
        <w:rPr>
          <w:rFonts w:ascii="Times New Roman" w:hAnsi="Times New Roman"/>
          <w:color w:val="000000"/>
          <w:sz w:val="20"/>
        </w:rPr>
        <w:t xml:space="preserve"> </w:t>
      </w:r>
      <w:r>
        <w:rPr>
          <w:rFonts w:ascii="Times New Roman" w:hAnsi="Times New Roman"/>
          <w:color w:val="000000"/>
          <w:sz w:val="13"/>
        </w:rPr>
        <w:t>shares of the registrant’s Class B common stock, par value $0.001 per share, were outstanding, and no</w:t>
      </w:r>
      <w:r>
        <w:rPr>
          <w:rFonts w:ascii="Times New Roman" w:hAnsi="Times New Roman"/>
          <w:color w:val="000000"/>
          <w:sz w:val="20"/>
        </w:rPr>
        <w:t xml:space="preserve"> </w:t>
      </w:r>
      <w:r>
        <w:rPr>
          <w:rFonts w:ascii="Times New Roman" w:hAnsi="Times New Roman"/>
          <w:color w:val="000000"/>
          <w:sz w:val="13"/>
        </w:rPr>
        <w:t>shares of the registrant’s Class C common stock, par value $0.001 per share, were outstanding.</w:t>
      </w:r>
    </w:p>
    <w:p>
      <w:pPr>
        <w:pStyle w:val="TextBody"/>
        <w:bidi w:val="0"/>
        <w:jc w:val="left"/>
        <w:rPr/>
      </w:pPr>
      <w:r>
        <w:rPr/>
        <w:t> </w:t>
      </w:r>
    </w:p>
    <w:p>
      <w:pPr>
        <w:pStyle w:val="TextBody"/>
        <w:bidi w:val="0"/>
        <w:spacing w:before="60" w:after="283"/>
        <w:jc w:val="center"/>
        <w:rPr>
          <w:rFonts w:ascii="Times New Roman" w:hAnsi="Times New Roman"/>
          <w:color w:val="000000"/>
          <w:sz w:val="13"/>
        </w:rPr>
      </w:pPr>
      <w:r>
        <w:rPr>
          <w:rFonts w:ascii="Times New Roman" w:hAnsi="Times New Roman"/>
          <w:color w:val="000000"/>
          <w:sz w:val="13"/>
        </w:rPr>
        <w:t>DOCUMENTS INCORPORATED BY REFERENCE</w:t>
      </w:r>
    </w:p>
    <w:p>
      <w:pPr>
        <w:pStyle w:val="TextBody"/>
        <w:bidi w:val="0"/>
        <w:spacing w:before="60" w:after="283"/>
        <w:jc w:val="left"/>
        <w:rPr>
          <w:rFonts w:ascii="Times New Roman" w:hAnsi="Times New Roman"/>
          <w:color w:val="000000"/>
          <w:sz w:val="13"/>
        </w:rPr>
      </w:pPr>
      <w:r>
        <w:rPr>
          <w:rFonts w:ascii="Times New Roman" w:hAnsi="Times New Roman"/>
          <w:color w:val="000000"/>
          <w:sz w:val="13"/>
        </w:rPr>
        <w:t>Portions of the registrant’s definitive proxy statement relating to the registrant’s 2026 annual meeting of stockholders, which will be filed with the Securities and Exchange Commission within 120 days after the end of the fiscal year ended January 31, 2026, are incorporated by reference into Part III of this Annual Report on Form 10-K where indicated.</w:t>
      </w:r>
    </w:p>
    <w:p>
      <w:pPr>
        <w:pStyle w:val="TextBody"/>
        <w:bidi w:val="0"/>
        <w:spacing w:before="6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hyperlink w:anchor="item_6_reserved">
              <w:r>
                <w:rPr>
                  <w:rStyle w:val="InternetLink"/>
                  <w:rFonts w:ascii="Times New Roman" w:hAnsi="Times New Roman"/>
                  <w:color w:val="0000FF"/>
                  <w:sz w:val="20"/>
                </w:rPr>
                <w:t xml:space="preserve"> </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item_8">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bookmarkStart w:id="2" w:name="cautionary_note_regarding_forward_look"/>
      <w:bookmarkEnd w:id="2"/>
      <w:r>
        <w:rPr>
          <w:rFonts w:ascii="Times New Roman" w:hAnsi="Times New Roman"/>
          <w:b/>
          <w:color w:val="231F20"/>
          <w:sz w:val="20"/>
        </w:rPr>
        <w:t>CAUTIONARY NOTE REGARDING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This Annual Report on Form 10-K for the year ended January 31, 2026 (this “Annual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include all statements other than statements of historical fact contained in this Annual Report, and generally relate to future events or our future financial or operating performance. Words such as “anticipate,” “believe,” “contemplate,” “continue,” “could,” “estimate,” “expect,” “intend,” “may,” “plan,” “potential” “predict,” “project,” “should,” “target,” or “will,” or the negative of these words or other similar terms or expressions that concern our expectations, strategy, plans or intentions are intended to identify forward-looking statements, although not all forward-looking statements contain these identifying words. Forward-looking statements contained in this Annual Report include, but are not limited to, statements about: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future financial performance, including our expectations regarding our revenue, cost of revenue, operating expenses, our ability to determine reserves and our ability to achieve and maintain future profitability;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sufficiency of our cash, cash equivalents and investments to meet our liquidity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demand for our platform or for similar solutions in general;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and retain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new products and bring them to market in a timely manner and make enhancements to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compete with existing and new competitors in existing and new markets and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impact of changes in current laws or regulations, or implementation of new laws or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manage and insure risk associated with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acquire and integrate companies and assets;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new and emerging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develop and protect our brand;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and management of future growth;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concerning relationships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size of our addressable and serviceable markets, spend in those markets and our ability to penetrate those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amount of our customers’ gross transaction volume (“GTV”), which represents the sum of total dollars invoiced by our customers through our platform in a given period and is intended to be a proxy for the total revenue our customers generate, that we can recognize as revenue;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protect and enhance our intellectual property;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industry trends, in particular the rate of adoption of trades-specific and end-to-end technologies and digitization of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anticipate technological and industry developments and our ability to enhance our platform or develop new products to respond to such developments;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drive growth and efficiency by incorporating artificial intelligence (“AI”) and machine learning solutions into our platform and operations;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scale our systems and operations as we grow, including through organic and inorganic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reliance on key personnel and our ability to attract, maintain and retain management and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present and future litigation;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expectations regarding the effects of existing and developing laws and regulations, including with respect to taxation and privacy and data protection;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maintain the security and availability of our platform and protect against data breaches and other security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increased expenses associated with being a public company;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avoid any findings of material weaknesses or significant deficiencies in the future.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caution you that the foregoing list may not contain all of the forward-looking statements made in this Annual Report.</w:t>
      </w:r>
    </w:p>
    <w:p>
      <w:pPr>
        <w:pStyle w:val="TextBody"/>
        <w:bidi w:val="0"/>
        <w:spacing w:before="240" w:after="283"/>
        <w:jc w:val="both"/>
        <w:rPr>
          <w:rFonts w:ascii="Times New Roman" w:hAnsi="Times New Roman"/>
          <w:sz w:val="20"/>
        </w:rPr>
      </w:pPr>
      <w:r>
        <w:rPr>
          <w:rFonts w:ascii="Times New Roman" w:hAnsi="Times New Roman"/>
          <w:color w:val="231F20"/>
          <w:sz w:val="20"/>
        </w:rPr>
        <w:t>You should not rely upon forward-looking statements as predictions of future events. We have based the forward-looking statements contained in this Annual Report primarily on management's current expectations and projections about future events and trends that we believe may affect our business, financial condition, results of operations and prospects, based on information available to us at the time such statements are made. The outcome of the events described in these forward-looking statements is subject to risks, uncertainties and other factors, including those described in the “</w:t>
      </w:r>
      <w:r>
        <w:rPr>
          <w:rFonts w:ascii="Times New Roman" w:hAnsi="Times New Roman"/>
          <w:i/>
          <w:color w:val="231F20"/>
          <w:sz w:val="20"/>
        </w:rPr>
        <w:t>Risk Factors Summary</w:t>
      </w:r>
      <w:r>
        <w:rPr>
          <w:rFonts w:ascii="Times New Roman" w:hAnsi="Times New Roman"/>
          <w:color w:val="231F20"/>
          <w:sz w:val="20"/>
        </w:rPr>
        <w:t>” section below and under Part II, Item 7,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within this Annual Report, as well as those risks and uncertainties set forth from time to time in our reports and other documents filed with the Securities and Exchange Commission (the “SEC”).</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Although we do not make forward-looking statements unless we believe we have a reasonable basis for doing so, we cannot guarantee their accuracy or completeness. Moreover,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undertake no obligation to update any forward-looking statements made in this Annual Report to reflect events or circumstances after the date of this Annual Report or to reflect new information or the occurrence of unanticipated events, except as required by law or the listing rules of The Nasdaq Stock Market LLC. We may not actually achieve the plans, intentions or expectations disclosed in our forward-looking statements and you should not place undue reliance on our forward-looking statements.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summary_of_risk_factors"/>
      <w:bookmarkEnd w:id="3"/>
      <w:r>
        <w:rPr>
          <w:rFonts w:ascii="Times New Roman" w:hAnsi="Times New Roman"/>
          <w:b/>
          <w:color w:val="000000"/>
          <w:sz w:val="20"/>
        </w:rPr>
        <w:t>SUMMARY</w:t>
      </w:r>
      <w:r>
        <w:rPr>
          <w:rFonts w:ascii="Times New Roman" w:hAnsi="Times New Roman"/>
          <w:color w:val="000000"/>
          <w:sz w:val="20"/>
        </w:rPr>
        <w:t xml:space="preserve"> </w:t>
      </w:r>
      <w:r>
        <w:rPr>
          <w:rFonts w:ascii="Times New Roman" w:hAnsi="Times New Roman"/>
          <w:b/>
          <w:color w:val="000000"/>
          <w:sz w:val="20"/>
        </w:rPr>
        <w:t>OF RISK FACTORS</w:t>
      </w:r>
    </w:p>
    <w:p>
      <w:pPr>
        <w:pStyle w:val="TextBody"/>
        <w:bidi w:val="0"/>
        <w:spacing w:before="240" w:after="283"/>
        <w:jc w:val="both"/>
        <w:rPr>
          <w:rFonts w:ascii="Times New Roman" w:hAnsi="Times New Roman"/>
          <w:sz w:val="20"/>
        </w:rPr>
      </w:pPr>
      <w:r>
        <w:rPr>
          <w:rFonts w:ascii="Times New Roman" w:hAnsi="Times New Roman"/>
          <w:color w:val="000000"/>
          <w:sz w:val="20"/>
        </w:rPr>
        <w:t>Our business is subject to numerous risks and uncertainties, including those highlighted in the section titled “</w:t>
      </w:r>
      <w:r>
        <w:rPr>
          <w:rFonts w:ascii="Times New Roman" w:hAnsi="Times New Roman"/>
          <w:i/>
          <w:color w:val="000000"/>
          <w:sz w:val="20"/>
        </w:rPr>
        <w:t>Risk Factors</w:t>
      </w:r>
      <w:r>
        <w:rPr>
          <w:rFonts w:ascii="Times New Roman" w:hAnsi="Times New Roman"/>
          <w:color w:val="000000"/>
          <w:sz w:val="20"/>
        </w:rPr>
        <w:t>” contained within this Annual Report. These risks could materially and adversely impact our business, financial condition and results of operations, which could cause the trading price of our Class A common stock to decline and could result in a loss of all or part of your investment. Additional risks, beyond those summarized below or discussed elsewhere in this Annual Report, may apply to our business, activities or operations as currently conducted or as we may conduct them in the future or in the markets in which we operate or may in the future operate. These risks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and may not be able to achieve or sustain profitability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manage our growth effectively, our brand and reputation, business, financial condition and results of operations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that adversely affect the trades industry, including industry consolidation, the increased prevalence of marketplaces for contractors, supply chain issues and labor shortages, could also adversely affect the demand for our platform and, as a result,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unsuccessful in making, integrating and maintaining acquisitions, including past acquisitions.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have incorporated and are incorporating traditional AI, machine learning and generative AI (</w:t>
      </w:r>
      <w:r>
        <w:rPr>
          <w:color w:val="231F20"/>
        </w:rPr>
        <w:t>“</w:t>
      </w:r>
      <w:r>
        <w:rPr>
          <w:rFonts w:ascii="Times New Roman" w:hAnsi="Times New Roman"/>
          <w:color w:val="000000"/>
          <w:sz w:val="20"/>
        </w:rPr>
        <w:t>GenAI</w:t>
      </w:r>
      <w:r>
        <w:rPr>
          <w:color w:val="231F20"/>
        </w:rPr>
        <w:t>”</w:t>
      </w:r>
      <w:r>
        <w:rPr>
          <w:rFonts w:ascii="Times New Roman" w:hAnsi="Times New Roman"/>
          <w:color w:val="000000"/>
          <w:sz w:val="20"/>
        </w:rPr>
        <w:t>) into some of our products.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software and services licensed from other third parties. Defects in or the loss of software or services from third parties could increase our costs and adversely affect the quality of our service.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guarantee that our internal control over financial reporting will continue to be effective or that we will not experience material weaknesses in the future, which could result in an adverse opinion from our independent registered public accounting firm regarding the effectiveness of our internal control, affect the reliability of our financial statements, and have other adverse consequences.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multi-class structure of our common stock has the effect of concentrating voting power with Ara Mahdessian and Vahe Kuzoyan (our “Co-Founders”),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Future issuances of our Class C common stock, if any, will not dilute the voting power of our Co-Founders, but will dilute their economic interest, which could cause their interests to conflict with your interests. Further, the issuance of shares of Class C common stock, whether to our Co-Founders or to other stockholders, could prolong the duration of our Co-Founders’ voting power.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both"/>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is the operating system that powers the trades.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 Tradespeople—like your local plumber, roofer, landscaper, HVAC technician and others who are employed in the trades—are immensely skilled and extensively trained. They are the essential, unsung heroes who work tirelessly to ensure that our needs are met where we live or work, ready at a moment’s notice to leave their families in the middle of the night to go across town to help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ServiceTitan was born in the trades and built for the trades. Our founders, Ara Mahdessian and Vahe Kuzoyan, are the sons of trades business owners and founded ServiceTitan to provide tradespeople, like their parents, with technology that is purpose-built to help trades businesses thrive. Our software provides an end-to-end, cloud-based software platform that connects, manages and automates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ServiceTitan is focused on the success of our customers. We believe that our customers’ success leads to our success, and our broad platform, close customer proximity and deep connection with the industry enable us to improve our customers’ business outcomes. We believe we have the largest proprietary data asset in our industry, which means we can see and learn from an industry-specific dataset; and we are the system of record for our customers, solving end-to-end workflows. Because of these factors, we are fundamentally able to turn insights into action, a foundation that is accelerated by our growing AI capabilities and that we believe positions us to create the agentic operating system for the trades. This has helped and, we believe, will continue to help our customers grow and further professionalize their businesses, positioning them to accelerate revenue, drive operational efficiency and deliver a superior end-customer service experience.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Industry Background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Access to clean water, consistent power, heated and ventilated air, an environment free from pest infestations, and a roof overhead are just some of the basic requirements of the modern home and business. We take these standards of living and comforts for granted until something goes wrong—a water pipe bursts, the heat goes out in the dead of winter or the power goes down in the middle of the workday. It is in these moments when tradespeople come to the rescue and we remember how much we depend on the trades.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Trades Are Large, Durable and Rapidly Professionalizing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trades are a cornerstone of our global economy and one of the largest employment categories for the U.S. workforce. They attract considerable spending on homes, businesses and other properties.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Historically, the trades consisted of smaller, often family-owned entrepreneurial businesses with limited operational and geographical footprints. In recent years, more businesses are seeking to integrate modern technologies into their operations. Furthering this paradigm shift is the influx of professional operators, including private equity owners, who are investing in and consolidating trades businesses, standardizing the operations of their portfolio companies, implementing best practices and new software functionality, and accelerating the digital shift with a focus on scaling and improving efficiency. At the same time, end customers increasingly demand seamless digital experiences that have become commonplace in other industries.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Trades Require an Industry-Centric Approach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Trades businesses are complex in nature, servicing many types of jobs across complex workflows in distributed locations. Despite the size and criticality of the trades and the specialized skills of tradespeople, technology solutions have generally not evolved to address their needs. Thus, many trades have had to rely on a variety of inadequate and often disconnected tools to manage their workflows. We believe that to adequately serve the trades, a software solution must be purpose-built for the nuanced dynamics of the trades,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Distributed Workforce with Dynamic Workflows</w:t>
      </w:r>
      <w:r>
        <w:rPr>
          <w:rFonts w:ascii="Times New Roman" w:hAnsi="Times New Roman"/>
          <w:color w:val="000000"/>
          <w:sz w:val="20"/>
        </w:rPr>
        <w:t xml:space="preserve">. Trade workflows are often fluid and geographically distributed as technicians, dispatchers, customer support representatives, salespeople, and owners may all be in separate and changing locations throughout the day but require immediate collaborative capabilities. Each job requires these distinct and separated constituents to frequently and dynamically interact with one another in real time to address an end customer’s job requirements.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Individual Trades Have Similar but Distinct Characteristics</w:t>
      </w:r>
      <w:r>
        <w:rPr>
          <w:rFonts w:ascii="Times New Roman" w:hAnsi="Times New Roman"/>
          <w:color w:val="000000"/>
          <w:sz w:val="20"/>
        </w:rPr>
        <w:t xml:space="preserve">. The industry consists of a wide array of trades that service different needs of households and businesses. Though each trade has similar operational challenges and business goals, there are often many unique workflows and specifications that require configurations based on the nuances of a particular trade and/or end customer.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Technology Adoption Requires Business Transformation</w:t>
      </w:r>
      <w:r>
        <w:rPr>
          <w:rFonts w:ascii="Times New Roman" w:hAnsi="Times New Roman"/>
          <w:color w:val="000000"/>
          <w:sz w:val="20"/>
        </w:rPr>
        <w:t xml:space="preserve">. Often there are structural inefficiencies in trades businesses’ historical operational workflows. However, these processes have existed for generations, and trades businesses may be apprehensive to invest in technology solutions that risk significantly disrupting their established norms. Since trades businesses tend to devote their resources to serving their customers, they often lack the large IT organizations required to stitch together narrow solutions, build software products in-house, or customize horizontal technology to fit their distinct workflows.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distinct characteristics and challenges of the trades, the need for a software platform built specifically for and trusted by this industry is critical.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The ServiceTitan Approach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trades deserve a modern platform to deliver superior performance and automation from the back-office to field technicians to end customers. ServiceTitan was born to heed this calling. Our differentiated approach to drive success for our customers is built on the following cornerstones: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Our Software is Trades-Specific, End-to-End, and Extensible Across Trade Verticals</w:t>
      </w:r>
      <w:r>
        <w:rPr>
          <w:rFonts w:ascii="Times New Roman" w:hAnsi="Times New Roman"/>
          <w:color w:val="000000"/>
          <w:sz w:val="20"/>
        </w:rPr>
        <w:t>. We have built what we believe to be the first and only comprehensive cloud-based software solution designed specifically for the diverse spectrum of trades businesses, fully integrating across all critical operational functions (CRM, FSM, ERP, HCM and FinTech). Rather than targeting specific functional areas as is traditional in enterprise software, we target our entire customer—a trades business—and have purpose-built our platform to cover their needs and workflows end-to-end.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We Are Experts in the Trades</w:t>
      </w:r>
      <w:r>
        <w:rPr>
          <w:rFonts w:ascii="Times New Roman" w:hAnsi="Times New Roman"/>
          <w:b/>
          <w:color w:val="000000"/>
          <w:sz w:val="20"/>
        </w:rPr>
        <w:t>.</w:t>
      </w:r>
      <w:r>
        <w:rPr>
          <w:color w:val="000000"/>
        </w:rPr>
        <w:t xml:space="preserve"> </w:t>
      </w:r>
      <w:r>
        <w:rPr>
          <w:rFonts w:ascii="Times New Roman" w:hAnsi="Times New Roman"/>
          <w:color w:val="000000"/>
          <w:sz w:val="20"/>
        </w:rPr>
        <w:t xml:space="preserve">We are emphatically focused on understanding the evolving challenges and workflows of trades stakeholders through continuously engaging with customers and observing how they use our products. We also employ industry experts, such as former contractors, former association leaders and other subject matter experts, and work closely with customers and industry partners, including large distributors, OEMs and industry associations, to maintain a constant pulse of the trades.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We Leverage Our Data Assets and AI to Drive Customer ROI</w:t>
      </w:r>
      <w:r>
        <w:rPr>
          <w:rFonts w:ascii="Times New Roman" w:hAnsi="Times New Roman"/>
          <w:color w:val="000000"/>
          <w:sz w:val="20"/>
        </w:rPr>
        <w:t xml:space="preserve">. ServiceTitan lives and breathes the trades and, in turn, the trades live and breathe ServiceTitan. Trades businesses spend their days using our platform and processing key workflows through us. Our unique position across the trades ecosystem provides us with the distinct ability to collect data across all workflows and all users, which we anonymize, aggregate, and analyze to glean insights and productize further improvements for our customers, and in turn provides data to our AI engines, to automate customer tasks and drive additional insight-based actions. We not only embed AI-driven features and insights within existing products, but we have launched a suite of innovative, purpose-built, add-on AI products designed specifically for the trades. In addition, in fiscal 2026, we introduced Atlas, an agentic AI layer that represents the next evolution of our Titan Intelligence AI engine. We believe we have the three necessary ingredients to harness the power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AI to further drive value for our customers: (1) massive and growing proprietary data assets; (2) similar customer profiles with common workflows; and (3) an end-to-end platform that allows us and our customers to put insights into action.</w:t>
      </w:r>
      <w:r>
        <w:rPr>
          <w:color w:val="000000"/>
        </w:rPr>
        <w:t xml:space="preser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ServiceTitan was built to be the operating system that powers the trades. We designed our platform to comprehensively address key workflows for trades businesses including call tracking, scheduling, dispatching, end-customer communications, marketing automation, estimating, sales, payments, inventory and payroll integration. Our customers access our platform through a web browser if in the office and through a mobile application if in the field (primarily technicians). Given the vertical-specific nature of the trades, we tailor certain product offerings to address specific needs of each trade.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offers key benefits through three main offerings: Core, FinTech and Pro products. Our entry point to a typical customer’s business is through our Core product offering, which offers a base-level functionality across all key workflows, including call tracking, scheduling, dispatching, end-customer communications, marketing automation, estimating, job costing, sales, inventory and payroll integration. To supplement our Core product and provide an even higher level of functionality, we offer our comprehensive portfolio of Pro products, which provide value-additive capabilities, as well as our FinTech products, which include payment processing and third-party financing solutions. As our customers adopt more of our platform’s additive products and features, we have the opportunity to further accelerate the growth of their business, drive operational efficiencies and deliver a superior end-customer experience. In addition, in fiscal 2026, we began a pilot of Max, which packages our most advanced functionality and AI features with expert guidance to unlock AI automation.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is also highly extensible because our application programming interfaces (“APIs”) and developer tools allow our customers to integrate our products with their systems and certain third-party applications, further extending and embedding our platform into the broader trades ecosystem. Our partners and system integrators regularly engage with our platform to create value-add extensions that help serve our customers in an even more complete and flexible manner.</w:t>
      </w:r>
    </w:p>
    <w:p>
      <w:pPr>
        <w:pStyle w:val="TextBody"/>
        <w:bidi w:val="0"/>
        <w:spacing w:before="240" w:after="283"/>
        <w:jc w:val="both"/>
        <w:rPr>
          <w:rFonts w:ascii="Times New Roman" w:hAnsi="Times New Roman"/>
          <w:sz w:val="20"/>
        </w:rPr>
      </w:pPr>
      <w:r>
        <w:rPr>
          <w:rFonts w:ascii="Times New Roman" w:hAnsi="Times New Roman"/>
          <w:color w:val="000000"/>
          <w:sz w:val="20"/>
        </w:rPr>
        <w:t>Through our platform, our customers are able to generate leads, book jobs, dispatch technicians, track performance, and take payments, among other capabilities more fully described below. For additional information regarding the seasonality and other trends impacting our platform and business, refer to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Lead Generation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Lead Tracking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single customer can have thousands of online leads from a variety of sources, including ads, Yelp and Google sponsorships, which makes knowing which lead sources are producing inbound calls critical to maximizing our customers’ sales and marketing ROI. ServiceTitan’s lead tracking feature assigns a unique phone number to each marketing campaign that helps map leads to revenue-generating jobs and provides a customer visibility into the effectiveness of each marketing dollar.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Memberships, Service Agreements and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platform allows our customers to effortlessly create new maintenance memberships and equipment-based contracts that are customizable to apply discounts or offer upgrades for additional services. Our customers are also notified when end customers’ memberships are expiring and are provided a summary of the membership information to ensure they have the right data when following up on renewals Additionally, we offer our business customers the flexibility to provide services using service agreements. This feature offers customers consistent and predictable revenue-generating opportunities to generate work.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Marketing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complement our standard lead tracking feature, Marketing Pro offers AI-powered automated email marketing, direct mail marketing services, reputation management, ads measurement and optimization and Audience Builder.</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Convex</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Convex Labs, Inc. is a sales and marketing platform built specifically for trades businesses focused on serving commercial buildings that enables such trades businesses to identify new opportunities and expand existing relationships with a comprehensive view of commercial properties, contact, business and permit information.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Job Booking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Call Booking and Recording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Call Booking and Recording feature automatically populates end-customer information as calls come in, making appointment booking an informed and effortless process. We use our data-driven insights to show customer service representatives key property details and customer history. ServiceTitan routes an end customer’s call through a call recording system and attaches the recording to the related job, allowing a business owner to regularly review calls for quality assurance.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Google Local Service Ads Integration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Google Local Service Ads Integration feature enables a prospective end customer to view availability and book directly with our customers with the click of a button using Google search.</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Phones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Phones Pro is a Voice over Internet Protocol phone system that allows customers to route calls through the ServiceTitan platform. This allows our customers to immediately know which customer service representative is taking the call, enabling in-depth reporting on key performance indicators such as call abandonment rates and average call duration. Phones Pro also allows our customers to receive call transcripts and automated alerts for escalation.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use AI in our Second Chance Leads feature to analyze interactions that failed to result in booked appointments and are worth pursuing a second attempt.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Contact Center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Contact Center Pro is an omnichannel, multi-location, AI-powered cloud contact center solution built specifically for the trades to provide better customer service, book more jobs, increase revenue, boost contact center productivity and streamline costs. The Universal Inbox in Contact Center Pro allows customer service agents to access inbound and outbound communications across multiple channels and businesses as well as critical contextual information and key workflows from a single, easy-to-use user interface.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Scheduling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Scheduling Pro allows end customers to book work orders directly through the dispatch board at any time, resulting in less friction for end customers who would otherwise be in queue, and increased orders for our customers even during periods when sales representatives are busy or after-hours. This feature helps our customers capture revenue that may otherwise be lost.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Virtual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Paired with the underlying functionality of our platform, our Virtual Agents utilize AI to automatically handle overflow and after-hours calls to book, reschedule and confirm appointments. This feature further helps our customers capture revenue that may otherwise be lost.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Dispatching Technician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Customer Notifications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End customers receive automated text notifications when their job is booked and the technician is on the way, along with the technician’s picture and a link to the technician’s GPS location. Moreover, end customers can directly communicate with the technician through a two-way chat feature and receive real-time updates.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Scheduling &amp; Dispatching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Scheduling &amp; Dispatching dashboard provides information about a technician’s schedule, current capacity and skill set, and an overview of booked appointments, recurring jobs and non-job events. With this critical information, dispatchers can efficiently schedule next jobs and respond to urgent requests and emergencies, all the while mapping the right technician to the job. Our platform also uses GPS systems to get real-time information on technician routes to find the most efficient routes and help businesses stay responsive.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Dispatch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Dispatch Pro incorporates AI in our standard dispatch solutions to provide analyses that help customers make smarter business decisions. This AI-driven feature constantly improves the product algorithm to learn from technicians’ historical data (like total sales, average tickets, sold memberships, probability of generating leads, technician reassignment and more) to choose the best-matched technician for a job, while also optimizing technician routes. A key feature of Dispatch Pro is its ability to predict job values and outcomes, enabling customers to make data-driven decisions to optimize technician assignment for each job, which in turn helps our customers yield higher return on investment.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Fleet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Fleet Pro is a comprehensive, proactive fleet management solution that helps managers efficiently manage their fleet, save money and maximize ROI on fleet spend. This feature pulls data from GPS and AI-assisted smart cameras connected to the ServiceTitan network to provide managers complete visibility into technicians’ vehicle use, including idle times, helping prevent inflated wages and identify lost billing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Performing Job</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Custom Forms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 Forms ensures that our customers are collecting relevant information from their end customer to understand the job request, provide estimates and identify sales velocity opportunities. This feature also serves as quality control by mandating staff to follow predefined best practices across all verticals, such as safety checklists and opportunity review forms. Using the information collected, our platform identifies the appropriate language required in contracts, allowing our customers to focus on execution and client satisfaction.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Job Costing and Project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projects that go beyond a single call or single day, understanding profitability in real time is critical. Our Job Costing and Project Management functionality helps our customers understand how to manage and track all their projects (whether at one or multiple locations) in real time using the Budget vs. Actual table features through step-by-step workflows, providing visibility into the phases of work a project goes through, percent expended and variances at an itemized level,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Job Estimating product allows customers to provide real-time estimates and proposals and significantly improve time to close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Property Intelligence and Custom Proposals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PropertyIntel product allows our customers to collect, connect and visualize essential landscaping data to service more jobs in less time using features such as high-resolution aerial imagery for property measurement, precision measuring tools, automated time and cost estimates and autonomous mower and drone integrations.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Once equipped with this landscaping data, our customers can use our Custom Proposals feature to design competitive bids and win jobs. Together with our Core product functionality, PropertyIntel’s capabilities allow customers to identify superior enhancement opportunities, target marketing efforts to specific property needs, increase service effectiveness and achieve greater levels of profitability.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Conduit Tech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Conduit Tech, LLC is an HVAC design and sales platform that leverages next-generation Light Detection and Ranging (LiDAR) technology to build permit-ready load calculations and drive customer engagement. Conduit’s platform allows technicians to create 3D models, load calculations and visualizations onsite.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customers can track performance by creating personalized key performance indicators or using our AI-powered benchmarked industry metrics and best practices that are generated by leveraging our most successful customers and analyzing anonymized customer data (Benchmark Insights).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Pricebook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platform allows customers to promptly offer a variety of pricing options to the end customer through a customizable pricebook that can be pre-loaded with pictures, videos, warranties and other information for each item. With our standard Pricebook feature, customers can track material and labor costs including bonuses and commissions for each item and make appropriate pricing adjustments, all the while getting real-time insights into their profit margins.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Pricebook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Pricebook Pro offers capabilities that extend from pricing to estimates to inventory to accounting. Powered by AI, Pricebook Pro supplements our standard Pricebook product with value-additive features.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Field Pro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FieldPro, the next evolution of Sales Pro, pairs an AI-powered field technician coaching solution with AI-powered pre-job briefs and equipment recognition to drive increases in close rates, ticket sizes and revenue. By automatically recording, transcribing and analyzing on-site interactions directly within existing technician workflows, Field Pro provides a complete virtual “ridealong” solution that surfaces personalized coaching and learning opportunities to both managers and technicians in a social, engaging, peer-to-peer learning environment. Additionally, Field Pro includes exclusive curated content created by ServiceTitan in partnership with industry leaders and experts so contractors of all types and sizes can learn from the best in the industry, and also provides in-field troubleshooting guides and diagnostics.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Taking Payment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Payment Processing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platform offers integrated payment processing of credit cards, bank transfers (ACH) and checks via third parties, allowing technicians to process payments through customer portals or at the job for a seamless customer experience.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Consumer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our Consumer Financing features, our customers can rapidly and efficiently connect end customers with third-party financing options to pay for the costs incurred in connection with the work performed. Through our platform, an end customer can even view their monthly payment, which is particularly important as trades businesses often perform critical, non-discretionary and expensive jobs such as replacing an HVAC or water heating system.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Back Office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Accounting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platform provides a suite of accounting capabilities (for example, timekeeping, payroll, accounts receivable, accounts payable, collections and multi-party billing). We also provide AI-powered accounting assistance to automate personalized responses and job summarization. This reduces the time spent on print views and increases revenue by generating print templates aligned with customer specifications.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accounting features also offer flexibility to work across various accounting platforms (including QuickBooks and Sage Intacct) and address our customers’ varying invoicing needs (ranging from single-party same-day invoices to multi-party, progress billing to insurance claims) in ways that make sense for businesses.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Commercial Billing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billing feature allows trades businesses to improve operational efficiency and billing accuracy by automating billing processes. Further, as our platform has access to key details of projects, including initial estimates and labor and materials costs, we also provide progress billing capabilities, which prove to be helpful as projects are often paid over time.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Procurement and Inventory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software allows customers to swiftly replenish stock and manage inventory stored in trucks and warehouses across multiple geographic locations. Additionally, customers can make transfers and track in-process orders on a real-time basis through our Inventory Mobile App. These procurement and inventory management capabilities improve overall end-customer experience by ensuring accurate data entry and efficiently managing stock to avoid delays.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Components of Our Platform</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TitanAdvisor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built TitanAdvisor to utilize data-driven insights from across our platform to identify and recommend features not yet implemented by a customer. TitanAdvisor recommends targeted features and products to help our customers achieve their top priorities, whether it be to accelerate growth or increase operational efficiency, and provides a step-by-step guide to implement the feature recommendations.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Atlas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Atlas, an advanced AI sidekick that represents the next evolution of Titan Intelligence, our AI engine, is woven into components of our Core and Pro product offerings and is integrated into our FinTech solutions. Atlas uses a rich set of AI, machine learning and analytics-powered tools that include the latest GenAI capabilities to harness ServiceTitan data and fuel industry insights, trends, features, products, recommendations, and data-driven strategies for the trades. Contractors can interact directly with Atlas in our platform, typing or speaking in plain English. Atlas is designed to, over time, have the capabilities to automatically handle many of the tasks and decisions a business owner or team member could make, and to automatically surface insights that could help our customers further accelerate their businesses.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Growth Opportunities and Strategies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Our customers’ success is our first priority. We believe the following growth opportunities and strategies will deliver value to our customers and, in turn, to ServiceTitan. </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Increase GTV on Our Platform</w:t>
      </w:r>
      <w:r>
        <w:rPr>
          <w:rFonts w:ascii="Times New Roman" w:hAnsi="Times New Roman"/>
          <w:color w:val="000000"/>
          <w:sz w:val="20"/>
        </w:rPr>
        <w:t>. We expand GTV on our platform by enabling our customers to grow their GTV and by serving additional customers, either in trades and markets we operate in today or those we may expand into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Growing with Our Customers</w:t>
      </w:r>
      <w:r>
        <w:rPr>
          <w:rFonts w:ascii="Times New Roman" w:hAnsi="Times New Roman"/>
          <w:color w:val="000000"/>
          <w:sz w:val="20"/>
        </w:rPr>
        <w:t xml:space="preserve">. As our customers grow their businesses while using our platform, they often hire and add more users to their existing subscription and also complete more transactions through our platform, which both drive more revenue for ServiceTitan. We have developed deep partnerships with these customers that have made our platform the market standard in these trades and, as our customers scale further, they may look to expand into additional trades we already serve, which they can leverage our platform to do.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Increasing GTV By Serving Additional Customers in Existing Trades and Markets</w:t>
      </w:r>
      <w:r>
        <w:rPr>
          <w:rFonts w:ascii="Times New Roman" w:hAnsi="Times New Roman"/>
          <w:color w:val="000000"/>
          <w:sz w:val="20"/>
        </w:rPr>
        <w:t>. Increasing our GTV also depends on our ability to serve additional customers in existing trades and markets. As our platform has deepened and expanded in features, we have been able to serve larger customers. The trades industry is also experiencing an influx of professional operators, including private equity owners, who are investing in and consolidating trades businesses, in many cases on our platform. Because of these dynamics, we focus on increasing GTV on our platform, rather than new customer count.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Increasing GTV By Entering New Trades and Markets</w:t>
      </w:r>
      <w:r>
        <w:rPr>
          <w:rFonts w:ascii="Times New Roman" w:hAnsi="Times New Roman"/>
          <w:color w:val="000000"/>
          <w:sz w:val="20"/>
        </w:rPr>
        <w:t xml:space="preserve">. We believe there is a significant opportunity to expand to new trades and markets. We intend to continue investing in our platform to address the needs of additional trades. We have expanded into new trades using a proven playbook by harnessing common features applicable across the industry, while identifying and building key additional features specific to each trade and end market. We believe our track record and strategy of building features that directly address key pain points for our stakeholders across a growing number of trades will continue to differentiate us and help expand our customer base across a growing addressable market. As we expand to new trades, our best practice playbooks will continue to provide a blueprint for our customers to expand into additional trades. We also believe that there is a significant opportunity to strategically expand the usage of our platform outside of the United States and Canada over time based on the current needs of different regions. </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Retaining and Expanding Existing Customer Relationships</w:t>
      </w:r>
      <w:r>
        <w:rPr>
          <w:rFonts w:ascii="Times New Roman" w:hAnsi="Times New Roman"/>
          <w:color w:val="000000"/>
          <w:sz w:val="20"/>
        </w:rPr>
        <w:t>. Our customers deploy our platform end-to-end across their entire organization, meaning the ServiceTitan platform powers their workflows and is the primary interface used by their employees. We are deeply embedded as the operating system that powers our customers’ businesses, and we had a gross dollar retention rate</w:t>
      </w:r>
      <w:r>
        <w:rPr>
          <w:rFonts w:ascii="Times New Roman" w:hAnsi="Times New Roman"/>
          <w:color w:val="000000"/>
          <w:sz w:val="13"/>
        </w:rPr>
        <w:t>1</w:t>
      </w:r>
      <w:r>
        <w:rPr>
          <w:color w:val="000000"/>
        </w:rPr>
        <w:t xml:space="preserve"> </w:t>
      </w:r>
      <w:r>
        <w:rPr>
          <w:rFonts w:ascii="Times New Roman" w:hAnsi="Times New Roman"/>
          <w:color w:val="000000"/>
          <w:sz w:val="20"/>
        </w:rPr>
        <w:t xml:space="preserve">of over 95% for each of the fiscal years 2026, 2025 and 2024, respectively. As we continue to demonstrate the high ROI of our products to our customers, we may sell more add-on products to them and increase our share of wallet, which we measure as the portion of our customers’ GTV that we earn. We orient our activities around what is best for our customers, not only because it is the right thing to do, but also because we believe it drives our growth and financial success.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Driving Adoption of Add-on or Bundled Products</w:t>
      </w:r>
      <w:r>
        <w:rPr>
          <w:rFonts w:ascii="Times New Roman" w:hAnsi="Times New Roman"/>
          <w:color w:val="000000"/>
          <w:sz w:val="20"/>
        </w:rPr>
        <w:t xml:space="preserve">. As our customers realize the positive impact of using our platform, grow and further professionalize, they often adopt additional ServiceTitan features, such as our FinTech and Pro products. This increased adoption not only drives our revenue through adoption of existing add-on products, but also gives us insight into how customers engage with our platform and what additional add-on products or bundles might be helpful for us to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6"/>
        </w:rPr>
        <w:t>To calculate our gross dollar retention rate as of a given quarter, we first calculate prior period annualized billings. We then identify the value of annualized billings from any customers whose billings were zero in the current period (excluding the impact of credits), which we refer to as churn. We then divide (a) the prior period annualized billings minus churn by (b) the prior period annualized billings to calculate the gross dollar retention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innovate. We then leverage our end-to-end expertise and extensive data assets to tailor additional new features that can remedy the inefficiencies identified in our customer workflows and to strengthen our existing capabilities by embedding features that can drive value and make the platform even more powerful. We also believe that the power of new AI solutions, paired with the existing end-to-end nature of our platform, further expands our opportunity to bundle add-on products that can drive significant additional value for our customers, and further increase our share of wallet.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pPr>
      <w:r>
        <w:rPr>
          <w:rFonts w:ascii="Times New Roman" w:hAnsi="Times New Roman"/>
          <w:b/>
          <w:i/>
          <w:color w:val="000000"/>
          <w:sz w:val="20"/>
        </w:rPr>
        <w:t>Building New Add-on Products</w:t>
      </w:r>
      <w:r>
        <w:rPr>
          <w:rFonts w:ascii="Times New Roman" w:hAnsi="Times New Roman"/>
          <w:color w:val="000000"/>
          <w:sz w:val="20"/>
        </w:rPr>
        <w:t>. We have a history of building and launching add-on products where we see the opportunity to create significant positive impact for our customers. This impact comes from identifying a pain point our customers are experiencing and building a product that, when integrated with our end-to-end Core product, provides what we believe is an outsized value creation that is differentiated compared to other off-the-shelf vendors. Additionally, we have and may continue to consider opportunities for acquisitions or other strategic transactions that advance our product roadmap more efficiently than building functionality ourselves through research and development.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serve customers ranging from family-owned businesses with a few employees to large enterprises with a national footprint, some of which are an aggregation of multiple customers through a franchise network or other common buying partners. These aggregated customers employ thousands of employees, directly or through their franchise network, and generate over $1 billion in annual GTV. The key decision maker for our customers is typically the business owner. For some of our larger customers it is common for the business owner to employ executives such as a chief information officer to manage and upgrade critical IT systems or a general manager to oversee business operations. The general manager is typically also a key influencer in buying decisions.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define a customer as a parent organization, which may have multiple locations, brands or subsidiaries, that has been billed in the prior three months, and of those customers we define “Active Customers” as customers with over $10,000 of annualized billings. As of January 31, 2026, we had approximately 10,800 Active Customers representing over 97% of our annualized billings for fiscal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helps customers accelerate revenue growth, increase overall productivity by unifying and, in some cases, automating fragmented business processes, deliver a seamless customer service experience and provide operational visibility and insights to business owners. A differentiated employee experience is both a core value proposition of our software and a unique tailwind to customer adoption.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for technology and business process solutions catering to the needs of the trades is in its early phases of development and technology adoption, with many trades businesses still relying on a combination of rudimentary workflows. Where incumbent technology has been adopted, it has generally had a limited impact because it typically lacks a singular, purpose-built platform that integrates a comprehensive set of mission-critical workflows throughout the project lifecycle and fails to empower a distributed and mobile workforce.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compete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We expect competition to increase as other established and emerging companies enter our market, consumer platforms potentially build products to serve our customers, customer requirements evolve, and new products and technologies are introduced, including those expedited by advancements in AI and those that address additional point solutions.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We believe that we compete favorably across key industry selection criteria, including our cloud-based platform connectivity, ease of deployment and integration, user experience, industry expertise, product breadth, customer support, proven success record, mobile capabilities, and innovation capacity, including the ability to develop and implement industry-specific AI solutions. However, we could face significant risks to our business, financial condition and results of operations as a result of competition. For additional information, see the section titled “</w:t>
      </w:r>
      <w:r>
        <w:rPr>
          <w:rFonts w:ascii="Times New Roman" w:hAnsi="Times New Roman"/>
          <w:i/>
          <w:color w:val="000000"/>
          <w:sz w:val="20"/>
        </w:rPr>
        <w:t>Risk Factors—Risks Related to Our Business and Operations—We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go-to-market strategy leverages our industry expertise to effectively and authentically communicate our platform’s proven ability to address the trades’ unique workflows and challenges with business owners and key executives across both small and midsize and enterprise segments. We acquire customers through digital marketing, outbound direct marketing, significant word-of-mouth referrals, and partnerships with industry associations, original equipment manufacturers, and distributors. We primarily sell subscriptions to our Core product through our direct sales team, who conduct most sales virtually to accelerate onboarding. For larger enterprise prospects, our dedicated, geographically-distributed team targets key decision makers both in-person and virtually. Complementing new customer acquisition, our specialized FinTech and Pro product sales teams introduce additional products at the optimal times for each customer, using our insights from TitanAdvisor Scores to recommend solutions to address our customers’ evolving needs.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Customer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customer experience teams support customers through their entire customer lifecycle, from initial onboarding to ongoing success and support. Our customer success organization consists of Implementation, Customer Success Management, Support and Professional Services, with dedicated support from operations and enablement teams.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implementation and Professional Services teams assist each of our customers with onboarding and configuration, including data and accounting migrations, telecom setup and custom reporting, to ensure they are successful at go-live and beyond. Customers that subscribe to our Pro products are also assigned a resource to assist in optimization of those features. After initial onboarding, each customer is assigned a Customer Success Manager (“CSM”), who works closely with our customers to assist them in fully utilizing ServiceTitan in the most effective way possible using tools such as TitanAdvisor to help guide customers to improve product adoption and utilization, which closely correlates to better customer business outcomes such as revenue and efficiency. Additionally, our customers also have access to our large knowledge base, webinars and a broader community of customers and power users, many of whom are certified through our Certified Administrators program, which help raise the level of knowledge, expertise, adoption rate and continuous improvement in the use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offer customer support via chat, phone and email, and have integrated AI solutions to enhance the customer experience. Our Customer Support teams aligned by specialized areas to provide dedicated knowledge and address customer needs quickly and effectively. As we continue to evolve the customer experience, we expect that CSMs will increasingly focus on the ongoing customer relationship, driving retention and product expansion.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sz w:val="20"/>
        </w:rPr>
      </w:pPr>
      <w:r>
        <w:rPr>
          <w:rFonts w:ascii="Times New Roman" w:hAnsi="Times New Roman"/>
          <w:color w:val="000000"/>
          <w:sz w:val="20"/>
        </w:rPr>
        <w:t>Our business can be seasonal. For example, demand for our customers’ services tends to increase during seasonally hot summer months across a variety of trades including landscaping, pool, pest, HVAC and roofing. For more information, see the section titled “</w:t>
      </w:r>
      <w:r>
        <w:rPr>
          <w:rFonts w:ascii="Times New Roman" w:hAnsi="Times New Roman"/>
          <w:i/>
          <w:color w:val="000000"/>
          <w:sz w:val="20"/>
        </w:rPr>
        <w:t>Management’s Discussion and Analysis of Financial Conditions and Results of Operations—Seasonality and Other Fluctuations</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team consists of product, platform and infrastructure and site reliability engineering, product management, AI and data science, user experience and design, technical program management, content and enablement as well as product and information security. We invest substantial resources in research and development to enhance our platform’s functionalities and expand the products and services we offer. We employ in-house industry experts (former tradespeople, former association leaders and others) to ensure we understand the trades and address the needs of the industry through product innovation and customer success. We continually review and incorporate suggestions, feedback and new use cases from our broad customer base and engaged community into our platform and invest substantial resources to improve our platform by incorporating this feedback. We believe these investments will help us maintain our competitive position. We also analyze the data flowing through our platform to understand opportunities for driving further efficiencies and productizing improvements for our customers. Additionally, we devote considerable attention and resources to what we refer to as “customer trust,” which entails providing a continuously secure, performant and stable platform in keeping with SaaS industry standards.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sz w:val="20"/>
        </w:rPr>
      </w:pPr>
      <w:r>
        <w:rPr>
          <w:rFonts w:ascii="Times New Roman" w:hAnsi="Times New Roman"/>
          <w:color w:val="000000"/>
          <w:sz w:val="20"/>
        </w:rPr>
        <w:t>Our success depends in part upon our ability to safeguard our core technology and other intellectual property protection for our technology, inventions, improvements, proprietary rights and other assets. We seek to accomplish that objective by establishing intellectual property rights in and protecting those assets through a combination of patent, trademark and copyright law, trade secret, protection, license agreements, confidentiality procedures, employee invention assignment agreements, non-disclosure agreements with third parties and other contractual measures. As of January 31, 2026, we held 16 issued U.S. patents, four issued foreign patents, and nine U.S. patent applications. Our issued patents in the U.S. will expire between 2036 and 2045. In addition, as of January 31, 2026, we owned 15 registered trademarks in the United States, nine pending trademark applications in the United States, and 20 registered trademarks in various non-U.S. jurisdictions. We also have registered domain names for websites that we use in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w:t>
      </w:r>
      <w:r>
        <w:rPr>
          <w:rFonts w:ascii="Times New Roman" w:hAnsi="Times New Roman"/>
          <w:i/>
          <w:color w:val="000000"/>
          <w:sz w:val="20"/>
        </w:rPr>
        <w:t>Risk Factors—Risks Related to Our Intellectual Property</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sz w:val="20"/>
        </w:rPr>
      </w:pPr>
      <w:r>
        <w:rPr>
          <w:rFonts w:ascii="Times New Roman" w:hAnsi="Times New Roman"/>
          <w:color w:val="000000"/>
          <w:sz w:val="20"/>
        </w:rPr>
        <w:t>We are subject to various federal, state, local and foreign laws and regulations that involve matters central to our business. These laws and regulations may involve AI, data privacy, security and protection, intellectual property, telecommunications, telemarketing, import and export controls, consumer protection, employment and labor, workplace safety, anti-bribery, immigration, federal securities, tax and other subjects. Additional laws and regulations relating to these areas, particularly AI, likely will be passed in the future, and these or existing laws and regulations may be interpreted or enforced in new or expanded manners, each of which could result in significant limitations on ways we operate our business. There is a risk that certain regulations could become applicable to us as we expand the functionality of and products offered through our platform. New and evolving laws and regulations, and changes in their enforcement and interpretation, may require changes to our platform, products or business practices, and may significantly increase our compliance costs and otherwise adversely affect our business and results of operations. As our business expands to include additional products or service additional trades businesses, and our operations continue to expand internationally, our compliance requirements and costs may increase and we may be subject to increased regulatory scrutiny. See the section titled “</w:t>
      </w:r>
      <w:r>
        <w:rPr>
          <w:rFonts w:ascii="Times New Roman" w:hAnsi="Times New Roman"/>
          <w:i/>
          <w:color w:val="000000"/>
          <w:sz w:val="20"/>
        </w:rPr>
        <w:t>Risk Factors—Risks Related to Legal and Regulatory Environment—Our business is subject to extensive government regulation and oversight. Our failure to comply with extensive, complex, overlapping and frequently changing rules, regulations and legal interpretations could adversely affect our business</w:t>
      </w:r>
      <w:r>
        <w:rPr>
          <w:rFonts w:ascii="Times New Roman" w:hAnsi="Times New Roman"/>
          <w:color w:val="000000"/>
          <w:sz w:val="20"/>
        </w:rPr>
        <w:t>” for additional information about the laws and regulations we are subject to and the risks to our business associated with such laws and regulations.</w:t>
      </w:r>
    </w:p>
    <w:p>
      <w:pPr>
        <w:pStyle w:val="TextBody"/>
        <w:bidi w:val="0"/>
        <w:spacing w:before="360" w:after="120"/>
        <w:jc w:val="both"/>
        <w:rPr>
          <w:rFonts w:ascii="Times New Roman" w:hAnsi="Times New Roman"/>
          <w:b/>
          <w:color w:val="000000"/>
          <w:sz w:val="20"/>
        </w:rPr>
      </w:pPr>
      <w:r>
        <w:rPr>
          <w:rFonts w:ascii="Times New Roman" w:hAnsi="Times New Roman"/>
          <w:b/>
          <w:color w:val="000000"/>
          <w:sz w:val="20"/>
        </w:rPr>
        <w:t>Our People</w:t>
      </w:r>
    </w:p>
    <w:p>
      <w:pPr>
        <w:pStyle w:val="TextBody"/>
        <w:bidi w:val="0"/>
        <w:spacing w:before="0" w:after="120"/>
        <w:jc w:val="both"/>
        <w:rPr>
          <w:rFonts w:ascii="Times New Roman" w:hAnsi="Times New Roman"/>
          <w:color w:val="222222"/>
          <w:sz w:val="20"/>
        </w:rPr>
      </w:pPr>
      <w:r>
        <w:rPr>
          <w:rFonts w:ascii="Times New Roman" w:hAnsi="Times New Roman"/>
          <w:color w:val="222222"/>
          <w:sz w:val="20"/>
        </w:rPr>
        <w:t xml:space="preserve">As of January 31, 2026, we had a total of 3,414 Titans across the United States, Canada, Armenia and other international locations. Our Titans are engaged through direct employment and professional employer organizations (“PEOs”). In addition, we engage a limited number of independent contractors in certain jurisdictions. We also utilize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22222"/>
          <w:sz w:val="20"/>
        </w:rPr>
      </w:pPr>
      <w:r>
        <w:rPr>
          <w:rFonts w:ascii="Times New Roman" w:hAnsi="Times New Roman"/>
          <w:color w:val="222222"/>
          <w:sz w:val="20"/>
        </w:rPr>
        <w:t>third-party service providers in certain jurisdictions and functions; individuals providing services under these arrangements are employed by the applicable service provider.</w:t>
      </w:r>
    </w:p>
    <w:p>
      <w:pPr>
        <w:pStyle w:val="TextBody"/>
        <w:bidi w:val="0"/>
        <w:jc w:val="both"/>
        <w:rPr>
          <w:rFonts w:ascii="Times New Roman" w:hAnsi="Times New Roman"/>
          <w:color w:val="222222"/>
          <w:sz w:val="20"/>
        </w:rPr>
      </w:pPr>
      <w:r>
        <w:rPr>
          <w:rFonts w:ascii="Times New Roman" w:hAnsi="Times New Roman"/>
          <w:color w:val="222222"/>
          <w:sz w:val="20"/>
        </w:rPr>
        <w:t>In locations where we have not established a legal entity, we contract with the PEO to serve as the 'Employer of Record.' Individuals are employed by the PEO, but provide services to us under our day-to-day direction. In certain jurisdictions, the PEO facilitates our engagement with self-employed individuals who maintain their independent contractor status while accessing PEO services.</w:t>
      </w:r>
    </w:p>
    <w:p>
      <w:pPr>
        <w:pStyle w:val="TextBody"/>
        <w:bidi w:val="0"/>
        <w:spacing w:before="120" w:after="283"/>
        <w:jc w:val="both"/>
        <w:rPr>
          <w:rFonts w:ascii="Times New Roman" w:hAnsi="Times New Roman"/>
          <w:color w:val="222222"/>
          <w:sz w:val="20"/>
        </w:rPr>
      </w:pPr>
      <w:r>
        <w:rPr>
          <w:rFonts w:ascii="Times New Roman" w:hAnsi="Times New Roman"/>
          <w:color w:val="222222"/>
          <w:sz w:val="20"/>
        </w:rPr>
        <w:t>The majority of our employees are based in the United States, where our executive team and most of our engineering, product managers, sales and marketing, customer success and general and administrative personnel are located. Our Titans in Armenia and our other international locations primarily consist of engineers and customer success personnel.</w:t>
      </w:r>
    </w:p>
    <w:p>
      <w:pPr>
        <w:pStyle w:val="TextBody"/>
        <w:bidi w:val="0"/>
        <w:spacing w:before="120" w:after="283"/>
        <w:jc w:val="both"/>
        <w:rPr>
          <w:rFonts w:ascii="Times New Roman" w:hAnsi="Times New Roman"/>
          <w:color w:val="222222"/>
          <w:sz w:val="20"/>
        </w:rPr>
      </w:pPr>
      <w:r>
        <w:rPr>
          <w:rFonts w:ascii="Times New Roman" w:hAnsi="Times New Roman"/>
          <w:color w:val="222222"/>
          <w:sz w:val="20"/>
        </w:rPr>
        <w:t>None of our employees are represented by a labor union or covered by a collective bargaining agreement with respect to their employment with us. We have not experienced any work stoppages and we consider our relations with our employees to be strong. We have invested substantial time and resources in building our team. We are highly dependent on our management and high-quality employees and it is crucial that we continue to attract and retain top talent.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both"/>
        <w:rPr>
          <w:rFonts w:ascii="Times New Roman" w:hAnsi="Times New Roman"/>
          <w:color w:val="222222"/>
          <w:sz w:val="20"/>
        </w:rPr>
      </w:pPr>
      <w:r>
        <w:rPr>
          <w:rFonts w:ascii="Times New Roman" w:hAnsi="Times New Roman"/>
          <w:color w:val="222222"/>
          <w:sz w:val="20"/>
        </w:rPr>
        <w:t>Our website is www.servicetitan.com. The information contained on our website is not included as a part of, or incorporated by reference into, this Annual Report on Form 10-K. Other than an investor’s own internet access charges, we make available free of charge through our investor relations website (investors.servicetitan.com) our Annual Report on Form 10-K, Quarterly Reports on Form 10-Q and Current Reports on Form 8-K, and amendments to these reports, as soon as reasonably practicable after we have electronically filed such material with, or furnished such material to,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item_1a_risk_factors"/>
      <w:bookmarkEnd w:id="5"/>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Certain factors may have a material adverse effect on our business, financial condition, and results of operations.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included elsewhere in this Annual Report. If any of the risks actually occur, our business, financial condition, results of operations and prospects could be adversely affected. In that event, the market price of our Class A common stock could decline, and you could lose part or all of your investment.</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following summarizes factors that could have a material adverse effect on the Company’s business, reputation, results of operations, financial condition and stock price. The Company may not be able to accurately predict, control or mitigate these risks. Statements in this section are based on the Company’s beliefs and opinions regarding matters that could materially adversely affect the Company in the future and are not representations as to whether such matters have or have not occurred previously. The risks and uncertainties described below are not exhaustive and should not be considered a complete statement of all potential risks or uncertainties that the Company faces or may face in the future.</w:t>
      </w:r>
    </w:p>
    <w:p>
      <w:pPr>
        <w:pStyle w:val="TextBody"/>
        <w:bidi w:val="0"/>
        <w:spacing w:before="360" w:after="283"/>
        <w:jc w:val="center"/>
        <w:rPr>
          <w:rFonts w:ascii="Times New Roman" w:hAnsi="Times New Roman"/>
          <w:b/>
          <w:color w:val="231F20"/>
          <w:sz w:val="20"/>
        </w:rPr>
      </w:pPr>
      <w:r>
        <w:rPr>
          <w:rFonts w:ascii="Times New Roman" w:hAnsi="Times New Roman"/>
          <w:b/>
          <w:color w:val="231F20"/>
          <w:sz w:val="20"/>
        </w:rPr>
        <w:t>Risks Related to Our Business and Industry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experienced rapid growth in recent periods, and such growth may not be indicative of our future growth. If we fail to properly manage future growth, our business, financial condition, results of operations and prospects could be materially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rapid growth in recent periods; however, our recent revenue growth rate and financial performance should not be considered indicative of our future performance. Our revenue was $961.0 million and $771.9 million for fiscal 2026 and fiscal 2025, respectively, representing a year-over-year increase of 24% in aggregate. Our overall revenue growth depends on a number of factors, including our ability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attract new customers or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sell our suite of value-added products, including our Pro product offerings, to our existing customers or earn referral fees from our payment processing and consumer financing partners as part of our FinTech offerings;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improve the functionality of and develop new products, including AI-powered products, for our platform for the trades we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enhance our platform with new features and functionality, including AI-powered ones, and develop new products and serve trades businesses in trades we do not yet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provide our customers, their technicians, employees and other staff with the onboarding experience and ongoing level of support that they require;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invest financial and operational resources to support future growth in our contractor, partner and other third-party relationships;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operations domestically and internationally;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partner with third-party financial services and technology providers that are reliable and meet the needs of the trades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retain and motivate existing personnel, and attract, integrate and retain new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identify, acquire and integrate businesses, products or technologies that we believe could complement or expand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effectively plan for and model future growth;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compete with other providers of software for the trades.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You should not rely on our revenue or key business metrics for any previous quarterly or annual period as any indication of our revenue, revenue growth, key business metrics or key business metrics growth in future periods.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our revenue growth rate to continue to fluctuate over the short term, and even if our revenue continues to increase, our revenue growth rate may decline in future periods as the size of our business grows and we achieve higher market adoption rates. Our opportunity for future growth also depends on other factors generally outside of our control, including changes in our customers’ budgetary constraints, end-customer use of the trades we serve, regulatory and macroeconomic conditions, business practices within the trades, increased competition and consolidation of businesses within the trades. We also expect to continue to make investments in the development and expansion of our business, which may not result in increased revenue. Further, our revenue growth rate may experience increased volatility due to global societal and economic disruption. If we do not effectively address these risks and maintain revenue growth, the value of our capital stock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history of losses and may not be able to achieve or sustain profitability in the future.</w:t>
      </w:r>
      <w:r>
        <w:rPr>
          <w:rFonts w:ascii="Times New Roman" w:hAnsi="Times New Roman"/>
          <w:color w:val="231F20"/>
          <w:sz w:val="20"/>
        </w:rPr>
        <w:t xml:space="preserv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incurred net losses in each year since our inception, and we may not be able to achieve or maintain profitability in the future. We incurred net losses of $159.9 million and $239.1 million in fiscal 2026 and fiscal 2025, respectively and we had an accumulated deficit of $1.3 billion as of January 31, 2026. Generally, we expect our costs will increase over time and our losses to continue as we expect to invest significant additional funds towards growing our business and continue to adjust to operating as a public company.</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addition, we plan to continue to manage our business towards the achievement of long-term growth that we believe will positively impact long-term stockholder value, and we have expended, and expect to continue to expend, substantial financial and other resources on product development, including new and innovative core and AI functionality, products and services to address our customers’ evolving business needs, new products for adjacent markets and additional trade verticals, and improved customer experience across our targeted trade verticals; our technology infrastructure, including systems architecture, management tools, scalability, availability, performance and security, as well as disaster recovery measures; our sales, marketing and customer success organizations; our onboarding and support organizations; acquisitions or strategic investments; expansion efforts, including geographic, market and new industry expansion; and general administration, including legal and accounting expenses as well as the increased operating expenses due to being a public company. These efforts may be more costly than we expect, may not result in increased revenue or growth in our business, and may cause significant fluctuations in our results of operations from period to period. Any failure to increase our revenue sufficiently to keep pace with our investments and other expenses could negatively impact our gross margins and prevent us from achieving or maintaining profitability or positive cash flows on a consistent basis. If we are unable to successfully address these risks and challenges as we encounter them, our business, financial condition and results of operations could be adversely affected. Moreover, although we believe our investments in our business are consistent with our strategic objective to achieve long-term growth, these decisions may not be consistent with the short-term expectations of some investors, and if we are ultimately unable to achieve profitability at the level anticipated by industry or financial analysts and our stockholders, the trading price of our Class A common stock could decline. </w:t>
      </w:r>
    </w:p>
    <w:p>
      <w:pPr>
        <w:pStyle w:val="TextBody"/>
        <w:bidi w:val="0"/>
        <w:spacing w:before="360" w:after="283"/>
        <w:jc w:val="both"/>
        <w:rPr>
          <w:rFonts w:ascii="Times New Roman" w:hAnsi="Times New Roman"/>
          <w:sz w:val="20"/>
        </w:rPr>
      </w:pPr>
      <w:r>
        <w:rPr>
          <w:rFonts w:ascii="Times New Roman" w:hAnsi="Times New Roman"/>
          <w:b/>
          <w:i/>
          <w:color w:val="231F20"/>
          <w:sz w:val="20"/>
        </w:rPr>
        <w:t>If we fail to manage our growth effectively, our brand and reputation, business, financial condition and results of operations could be adversely affected.</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experienced strong growth in our employee headcount, our revenue, our reach across trades, the number of customers we serve and the number of transactions we process on our platform, and we expect to continue to experience growth in the future. For example, our full-time employee headcount increased from 840 as of January 31, 2020 to 3,414 as of January 31, 2026, with employees added over that period both at our headquarters in Glendale, California and in a number of locations across the United States and internationally. Further, our revenue has increased significantly over prior fiscal periods. In addition, we have and may continue to pursue acquisitions to expand our business and operations. This rapid growth and organizational change have placed, and may continue to place, significant demands on our management and our operational and financial resources and could challenge our ability to develop and improve our operational, financial and management controls; enhance our reporting systems and procedures; recruit, train and retain highly skilled personnel; and maintain customer satisfaction.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Our ability to manage our growth effectively and to integrate new employees, technologies, geographies and acquisitions into our existing business will require us to continue to expand our operational and financial infrastructure and to continue to effectively integrate, develop and motivate a large number of new employees, while maintaining the beneficial aspects of our culture.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we serve a growing number of customers and facilitate a growing number of transactions on our platform, we must continue to improve and expand our IT and financial infrastructure, operating and administrative systems and relationships with various partners and other third parties. We have established research and development hubs and we rely on engineering contractors in international markets, and we may open additional offices in the future both in the United States and abroad. Because we employ personnel internationally, we are subject to additional risks customarily associated with foreign operations, such as labor and employment related risks, export compliance risks, risks related to political or regional instability and national security risks. These disruptions, and the outbreak of war in the area generally, from time to time have adversely affected, and could in the future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our organizational structure is becoming more complex as we improve our operational, financial and management controls as well as our reporting systems and procedures. We will require significant capital expenditures and our calculated allocation of valuable management resources to grow and change in these areas without undermining the corporate culture of rapid innovation, teamwork and attention to customer success that has been central to our growth so far. If we fail to manage our anticipated growth and change in a manner that preserves the key aspects of our corporate culture, the quality of our solutions may suffer, which could negatively affect our brand and reputation and our ability to retain and attract customers, which could adversely affect our business, financial condition and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results of operations are likely to fluctuate from period to period, which could cause the market price of our Class A common stock to decline.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results of operations may vary significantly from period to period, which could adversely affect our business, financial condition and results of operations and cause the market price of our Class A common stock to decline. As a result, you should not rely upon our historical results of operations as indicators of future performance. We expect that our results of operations will vary as a result of a number of factors, many of which are outside of our control and may be difficult to predict,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increase the number of new customers and expand our existing customers’ use of our platform and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retain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growth of our existing and future customers and the expansion of their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 and timing of operating expenses related to maintaining and expanding our business, operations and infrastructure, including acquiring new and maintaining existing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success of new products or platform features introduced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keep pace with technological advances and changes in practices and processes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budgeting cycles and purchasing practices of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economic conditions and unrest due to geopolitical conflicts, in both domestic and foreign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spending on home and commercial services, including as a result of economic trends, natural or man-made catastrophes and pandemics generally;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number or volume of transactions processed on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trades businesses or partner requirements or market needs;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way we organize and compensate our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whether the industry for software for the trades, or our customers’ adoption of AI, develop more slowly than we expect;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successfully expand our business geographically and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timing and length of our sales cycles;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attract, develop, motivate and retain management and other skilled personnel;</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amount and timing of operating costs and capital expenditures related to the expansion of our business, or incorporating AI solutions into our business operations;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the competitive landscape of our market, including consolidation among competitors or trades businesses;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our pricing policies or those of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insolvency or credit difficulties affecting our customers’ ability to purchase or pay for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significant cybersecurity breaches or other incidents impacting, technical difficulties with, or interruptions to, the use of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unusual expenses such as litigation or other dispute-related settlement payments or outcomes;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future accounting pronouncements or changes in our accounting policies or practices;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governmental or other regulations, including state and federal laws that affect our business and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variability and unpredictability of our results of operations could result in our failure to meet our expectations or those of analysts that cover us or investors with respect to revenue or other results of operations for a particular period. If we fail to meet or exceed such expectations, the market price of our Class A common stock could fall substantially, and we could face costly lawsuits, including securities class action suits.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effectively develop and commercialize new products, enhance and improve our platform, expand the number of trades we support, respond to changes in trades business demands or preferences or adapt to changes in trade industry practices, processes and technological advances, we may not remain competitive.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grow our customer base and increase revenue from customers will depend heavily on our ability to develop new products and enhance and improve our platform in order to meet the increasing needs of trades businesses across the trades we serve and intend to serve, respond to changes in customer demands and preferences, adapt to changes in trade industry practices, processes and technology and interoperate across an increasing range of devices, operating systems and third-party applications. Our customers may demand products and capabilities that our current platform does not have, or that our current platform cannot support, and we may need to invest significantly in research and development to build these products and capabilities. In addition, the trades businesses we serve experience their own rapid technological changes and evolving industry practices.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Any new product or platform enhancements we develop or acquire might not be introduced in a timely or cost-effective manner and might not achieve the broad market acceptance necessary to generate significant revenue. If any of our competitors implement new technologies before we are able to implement them, those competitors may be able to provide more effective products and services than ours at lower prices. Competitors may also develop and introduce new products or entirely new technologies to replace our existing platform, which could make our platform obsolete or adversely affect our business. New products or platform enhancements may initially suffer from performance and quality issues that may negatively impact our ability to market and sell such products to new and existing customers. Additionally, we may experience difficulties with software development, design or marketing that could delay or prevent our development, introduction or implementation of new products, features or capabilities. Furthermore, as we incorporate AI functionality into our platform and products, our customers may be reluctant to adopt AI-powered solutions, especially agentic workflows, or adopt them more slowly than we expect. We have in the past experienced delays in our internally planned release dates of new products, features and capabilities, and there can be no assurance that new products, features or capabilities will be released according to schedule. If our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investments do not accurately anticipate customer demand, if we fail to realize the benefits of these investments by not achieving market acceptance, or our new products or platform enhancements suffer from performance or quality issues or are delayed,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incorporated and may continue to incorporate traditional artificial intelligence (“AI”), machine learning and generative AI (“GenAI”) solutions into our platform, offerings, services, and features, including those based on large language models (“LLMs”), and these applications may become more important to our operations or to our future growth over time. We expect to rely on AI solutions to help drive future growth and operational efficiencies in our business, but there can be no assurance that we will realize the desired or anticipated benefits from AI or at all. We may also fail to properly implement or market our AI solutions. Our competitors or other third parties may incorporate AI into their products more quickly or more successfully than us, which could impair our ability to compete effectively and adversely affect our results of operations.</w:t>
      </w:r>
    </w:p>
    <w:p>
      <w:pPr>
        <w:pStyle w:val="TextBody"/>
        <w:bidi w:val="0"/>
        <w:spacing w:before="360" w:after="283"/>
        <w:jc w:val="both"/>
        <w:rPr>
          <w:rFonts w:ascii="Times New Roman" w:hAnsi="Times New Roman"/>
          <w:sz w:val="20"/>
        </w:rPr>
      </w:pPr>
      <w:r>
        <w:rPr>
          <w:rFonts w:ascii="Times New Roman" w:hAnsi="Times New Roman"/>
          <w:b/>
          <w:i/>
          <w:color w:val="231F20"/>
          <w:sz w:val="20"/>
        </w:rPr>
        <w:t>Our operations can be seasonal, and the results of our operations can vary from quarter to quarter and year-over-year, so our financial performance in certain financial quarters or years may not be indicative of, or comparable to, our financial performance in subsequent financial quarters or years.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231F20"/>
          <w:sz w:val="20"/>
        </w:rPr>
        <w:t>Our financial results and cash needs may vary greatly from quarter to quarter and year to year depending on, among other things, the business performance of our customers, the seasonality inherent in some of our customers’ businesses (</w:t>
      </w:r>
      <w:r>
        <w:rPr>
          <w:rFonts w:ascii="Times New Roman" w:hAnsi="Times New Roman"/>
          <w:i/>
          <w:color w:val="231F20"/>
          <w:sz w:val="20"/>
        </w:rPr>
        <w:t>e.g</w:t>
      </w:r>
      <w:r>
        <w:rPr>
          <w:rFonts w:ascii="Times New Roman" w:hAnsi="Times New Roman"/>
          <w:color w:val="231F20"/>
          <w:sz w:val="20"/>
        </w:rPr>
        <w:t>., air conditioning demand peaking in summer months), extreme weather patterns (</w:t>
      </w:r>
      <w:r>
        <w:rPr>
          <w:rFonts w:ascii="Times New Roman" w:hAnsi="Times New Roman"/>
          <w:i/>
          <w:color w:val="231F20"/>
          <w:sz w:val="20"/>
        </w:rPr>
        <w:t>e.g.</w:t>
      </w:r>
      <w:r>
        <w:rPr>
          <w:rFonts w:ascii="Times New Roman" w:hAnsi="Times New Roman"/>
          <w:color w:val="231F20"/>
          <w:sz w:val="20"/>
        </w:rPr>
        <w:t xml:space="preserve">, cold spikes causing increased demand for furnace and other home repairs), general economic conditions and the timing of holidays and other seasonal events.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Because our results may vary significantly from quarter to quarter and year to year, our financial results for one quarter or year cannot necessarily be compared to another quarter or year and may not be indicative of our future financial performance in subsequent quarters or years. As we serve larger customers and as we enter different trade verticals, the sales cycle may increase the variation of our results from quarter to quarter and year to year.</w:t>
      </w:r>
    </w:p>
    <w:p>
      <w:pPr>
        <w:pStyle w:val="TextBody"/>
        <w:bidi w:val="0"/>
        <w:spacing w:before="360" w:after="283"/>
        <w:jc w:val="both"/>
        <w:rPr>
          <w:rFonts w:ascii="Times New Roman" w:hAnsi="Times New Roman"/>
          <w:sz w:val="20"/>
        </w:rPr>
      </w:pPr>
      <w:r>
        <w:rPr>
          <w:rFonts w:ascii="Times New Roman" w:hAnsi="Times New Roman"/>
          <w:b/>
          <w:i/>
          <w:color w:val="231F20"/>
          <w:sz w:val="20"/>
        </w:rPr>
        <w:t>Factors that adversely affect the trades industry, including industry consolidation, the increased prevalence of marketplaces for contractors, supply chain issues, tariffs on imported goods and labor shortages, could also adversely affect the demand for our platform and, as a result, our business, financial condition and results of operations.</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derive substantially all of our revenue from sales to trades businesses in the United States and Canada and transactions processed by such businesses. As a result, macroeconomic factors that negatively impact the trades industry, including industry consolidation, increased consumer reliance on online marketplaces connecting consumers to contractors, supply chain challenges, labor shortages and a lack of demand by consumers for the services provided by the trades, could also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Consolidation of trades businesses into larger industry participants within the trades has accelerated in recent years, and this trend could continue. We have in the past suffered, and may continue to suffer, reductions in subscriptions or non-renewal of customer subscriptions due to industry consolidation. We may not be able to expand sales of our subscriptions, Pro and FinTech products to existing or new customers enough to counteract any negative impact of industry consolidation on our business. From time to time, we form beneficial relationships with industry participants who have or are intending to consolidate trade businesses. However, we may not always be able to form such relationships, and such participants may compete with us. New companies that result from such consolidation may decide to develop their own internal solutions or work with alternative providers. As these companies consolidate, competition to provide solutions and services will become more intense and establishing relationships with large industry participants will become more important. Additionally, these industry participants may also try to use their market power to negotiate price reductions for our products. If consolidation of our larger customers occurs, these consolidated companies may represent a larger percentage of business for us and, as a result, we are likely to rely more significantly on revenue from such consolidated companies to continue to achieve growth.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Trades businesses are also experiencing supply chain challenges, including shortages of equipment, manufactured goods and supplies, which negatively affect their ability to accept and perform certain jobs. Additionally, sharply rising prices of gasoline and other fleet management costs may affect the profitability of routes for technicians in the field, especially those involving large amounts of driving. Tariffs or other trade protection measures, and uncertainty relating to such tariffs and trade protection measures, may also negatively impact trades businesses. In particular, the U.S. government has in the past and may in the future impose, reimpose, increase, or pause tariffs, and countries subject to such tariffs have and, in the future may, impose reciprocal tariffs or impose other protectionist or retaliatory trade measures in response. Such trade protection measures could increase the cost of raw materials, manufactured goods and supplies used in various trade verticals, or render these supplies increasingly difficult or impossible to procure, which may adversely affect the profitability of trades businesses. When such supply chain shortages and issues arise, or when costs increase due to tariffs or other trade protection measures, our customers may reduce their spending, which could result in decreased demand for our platform, as well as a decrease in the number or volume of transactions processed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trades businesses have experienced labor shortages as a result of an aging labor force and difficulty attracting new workers into the trades. These labor shortages can prevent trades businesses from accepting new jobs, limiting their businesses and reducing their revenues. The pricing of our subscription platform is partially based on the number of technicians employed by each of our customers, and any reduction in the skilled labor force hampers the growth of our customers and may negatively impact our revenues. Accordingly, our ability to efficiently provide our platform to trades businesses and to grow or maintain our customer base, and, as a result, our business, financial condition and results of operations, could be adversely affected by these and other factors that adversely affect the trades generally.</w:t>
      </w:r>
    </w:p>
    <w:p>
      <w:pPr>
        <w:pStyle w:val="TextBody"/>
        <w:bidi w:val="0"/>
        <w:spacing w:before="360" w:after="283"/>
        <w:jc w:val="both"/>
        <w:rPr>
          <w:rFonts w:ascii="Times New Roman" w:hAnsi="Times New Roman"/>
          <w:sz w:val="20"/>
        </w:rPr>
      </w:pPr>
      <w:r>
        <w:rPr>
          <w:rFonts w:ascii="Times New Roman" w:hAnsi="Times New Roman"/>
          <w:b/>
          <w:i/>
          <w:color w:val="231F20"/>
          <w:sz w:val="20"/>
        </w:rPr>
        <w:t>We have a limited operating history at our current scale in an evolving industry, which makes it difficult to evaluate our future prospects and may increase the risk that we are not successful.</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rapidly grown our business. For example, we first launched our platform in 2012, and our revenue grew from $120.7 million in fiscal 2020 to $961.0 million in fiscal 2026. We are expanding our sales focus to include large businesses, commercial services and construction customers, and expect to continue to explore new trades. We have also substantially increased our headcount, invested in expanding our direct sales force and customer support teams and otherwise enhanced and developed new solutions. Accordingly, we have a limited history of operations at our current scale, and our ability to forecast our future results of operations and to plan for future growth is more limited than that of companies with longer operating histories and subject to a number of uncertainties. These risks and uncertainties include our ability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accurately forecast our revenue and plan our operating expenses;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expand our sales team and develop an efficient sales, marketing, customer success and onboarding program that effectively addresses the needs of the customers in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 a scalable, efficient and reliable high-performance technology infrastructure;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deploy new products and solutions that address the needs of the trades that we currently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hire, integrate and retain world-class talent;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continue to partner with third-party financial services and technology providers that are reliable and meet the needs of the trades that we serve or intend to serve;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compete with other companies that currently offer, or may in the future offer, software and solutions to trades businesses in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increase revenue from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avoid interruptions or disruptions in our services or slower than expected load times for our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store, protect, use and otherwise process Personal Information in compliance with governmental regulation, contractual obligations and other legal obligations related to data protection, privacy and cybersecurity;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business across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predict and respond to general economic and market conditions, including those caused by pandemics such as the COVID-19 pandemic, political or social unrest or macroeconomic factors such as rising inflation, trade protection measures, increased interest rates and lower consumer confidence and/or spending;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successfully expand our geographic reach;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defend ourselves against litigation, regulatory, intellectual property, data protection, privacy, cybersecurity or other claims;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manage a global workforce, including our growing team based in Armenia.</w:t>
      </w:r>
    </w:p>
    <w:p>
      <w:pPr>
        <w:pStyle w:val="TextBody"/>
        <w:bidi w:val="0"/>
        <w:spacing w:before="240" w:after="283"/>
        <w:jc w:val="both"/>
        <w:rPr>
          <w:rFonts w:ascii="Times New Roman" w:hAnsi="Times New Roman"/>
          <w:sz w:val="20"/>
        </w:rPr>
      </w:pPr>
      <w:r>
        <w:rPr>
          <w:rFonts w:ascii="Times New Roman" w:hAnsi="Times New Roman"/>
          <w:color w:val="231F20"/>
          <w:sz w:val="20"/>
        </w:rPr>
        <w:t>If we fail to address the risks, including those associated with the challenges listed above as well as those described elsewhere in this section titled “</w:t>
      </w:r>
      <w:r>
        <w:rPr>
          <w:rFonts w:ascii="Times New Roman" w:hAnsi="Times New Roman"/>
          <w:i/>
          <w:color w:val="231F20"/>
          <w:sz w:val="20"/>
        </w:rPr>
        <w:t>Risk Factors</w:t>
      </w:r>
      <w:r>
        <w:rPr>
          <w:rFonts w:ascii="Times New Roman" w:hAnsi="Times New Roman"/>
          <w:color w:val="231F20"/>
          <w:sz w:val="20"/>
        </w:rPr>
        <w:t>,” and difficulties that we face, our business, financial condition and results of operations could be adversely affected. Further, because we operate in a rapidly evolving market and have limited experience preparing financial forecasts, any predictions about our future revenue and expenses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360" w:after="283"/>
        <w:jc w:val="both"/>
        <w:rPr>
          <w:rFonts w:ascii="Times New Roman" w:hAnsi="Times New Roman"/>
          <w:sz w:val="20"/>
        </w:rPr>
      </w:pPr>
      <w:r>
        <w:rPr>
          <w:rFonts w:ascii="Times New Roman" w:hAnsi="Times New Roman"/>
          <w:b/>
          <w:i/>
          <w:color w:val="231F20"/>
          <w:sz w:val="20"/>
        </w:rPr>
        <w:t>We engage our team members in various ways, including direct hires, through professional employer organizations and as independent contractors. As a result of these methods of engagement, we face certain challenges and risks that can affect our business, results of operations, and financial condition.</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the locations where we directly hire our employees, we must ensure compliance with the applicable local laws governing team members in those jurisdictions, including local employment and tax laws. In the locations where we utilize professional employer organizations (“PEOs”), we contract with the PEO for it to serve as “Employer of Record” for those team members engaged through the PEO in each applicable location. Under this model, team members are employed by the PEO but provide services to ServiceTitan. We also engage team members through a PEO self-employed model in certain jurisdictions where we contract with the PEO, which in turn contracts with individual team members as independent contractors. In all locations where we utilize PEOs, we rely on those PEOs to comply with local employment laws and regulations and to ensure our ownership of the intellectual property developed by the team members. We also issue equity to a substantial portion of our team members, including team members engaged through PEOs and to independent contractors, and must ensure we remain compliant with securities laws of the applicable jurisdiction where such team members are located.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some cases, we utilize independent contractors. When we utilize a PEO or independent contractors, we face risks related to compliance with local laws and regulations. Additionally, the agreements executed between PEOs and our team members or between us and team members engaged under the independent contractor model, may not be enforceable depending on the local laws because of the indirect relationship created through these engagement models. Accordingly, if any element of our engagement of team members through PEOs, or of our relationship with independent contractors, is found not to comply with laws or regulations, our business, financial condition and results of operations could be materially and adversely affected. Furthermore, litigation related to our model of engaging team members, if instituted against us, could result in substantial costs and divert our management’s attention and resources from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impact of economic conditions, including the resulting effect on consumer spending and on our customers’ finances and operations, may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Negative global and regional economic conditions, including conditions resulting from changes in gross domestic product growth, financial and credit market fluctuations, inflation, rising interest rates, bank failures, international trade relations, geopolitical instability and uncertainty, and resulting heightened risk of cyberattacks,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intellectual property theft, and a reduction in information technology spending regardless of macroeconomic conditions could have adverse impacts on our business, results of operations and financial condition, including longer sales cycles, lower prices for our products and services, reduced sales and slower or declining growth.</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trades are impacted by economic slowdowns, tightening of economic policies, tariffs or other trade protection measures that increase the cost of or decrease the availability of imported goods, including trade disputes, fluctuations in interest rates, which can increase borrowing costs, and other actions that affect material and equipment pricing and availability, such as higher inflation. Unfavorable or deteriorating market conditions, reductions in maintenance spend by commercial property owners or residential customers, the unavailability or increased cost of specific materials or supplies, reductions in the availability of business financing, government action which prevents or hinders the rendering of on-premise services or similar circumstances could have an adverse impact on our business. Our revenue may decrease because trades businesses may generally choose to delay or decide against purchases of software or information systems in times of unfavorable economic conditions, because workforce challenges or governmental policies prevent sufficient labor or impact the cost of labor required to meet demand, or because fewer transactions are processed on our platform, resulting in reduced fees to us. Furthermore, if the trades industry experiences a decrease in overall economic activity, the amount our customers are willing to pay for our products, or our ability to collect payments from our customers, could be reduced. Contractors may also work on fewer jobs, which would result in a reduction in transactions processed over our platform. To the extent we do not effectively address these risks and challenges,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in the event of a general economic downturn or sudden disruption in business conditions, consumer and small business confidence, spending levels, access to credit and interest rates could be adversely affected, which could result in consumers delaying or foregoing purchasing primary or vacation residences, or purchasing smaller homes that may require lower-value home services, businesses foregoing investment or businesses or consumers delaying, foregoing or changing the scope of potential home or business projects. Decreased spend on home and commercial services could result in fewer transactions being processed over our platform, which could cause our revenue to decrease, and could also result in less income for our customers, hampering their ability to pay for our platform. These effects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sensitive to events and trends that impact spend across the trades, including natural disasters, pandemics and climate change.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historically been, and will continue to be, sensitive to events and trends, including pandemics, natural disasters, extreme weather events and climate change, that result in changes in demand for trades businesses. For example, hotter temperatures caused in part by climate change have led to surges in demand during the summer for our customers’ HVAC repair services. Weather events and natural disasters can also have drastic impacts on our customers and technical infrastructure and network systems. If we do not adequately prepare our systems and organization, other similar events or trends could cause a surge in activity for our customers and lead to system failures and delays in customer support, among other effects, which could harm our brand, reputation and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Pandemics, natural disasters, political crises and other unexpected events could also have a direct negative impact on our own operations. Our corporate headquarters are located in California, a region known for seismic activity and that has recently experienced severe fires, and our insurance coverage may not compensate us for losses that may occur in the event of an earthquake or other significant natural disaster, such as a fire, mudslide, flood or significant power outage. In addition, depending on the geographic location of the event, a natural disaster, or a series of smaller weather events caused by climate change, could cause performance problems with our technology infrastructure and operations, which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Although we maintain incident management and disaster response plans, in the event of a major disruption caused by a natural disaster or man-made problem, or outbreaks of pandemic diseases, we may be unable to continue our operations and may experience system interruptions, which could impede our ability to serve technicians when they are needed most. Acts of terrorism and other geopolitical unrest, including in or near Armenia, Macedonia and Poland, where certain of our employees and engineering contractors are located, could also cause disruptions in our business or the business of our contractors, partners, vendors, or the economy as a whole. All of the aforementioned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risks may be further increased if our disaster recovery plans prove to be inadequate, and could generally adversely affect our brand, reputation,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market for software designed to serve the trades is evolving, and our future success depends on the growth of the trades industry and our ability to adapt, keep pace and respond effectively to evolving markets.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Widespread acceptance and use of technology by the trades in general, and our platform in particular, is critical to our future growth and success. While we believe that our platform addresses a significant market opportunity, the market may develop more slowly than we expect. If the market for software designed to serve the trades does not develop further or develops more slowly than we expect, our business, financial condition and results of operations could be adversely affected. Demand for management software by trades businesses in general, and our platform in particular, is affected by a number of factors, many of which are beyond our control. Some of these potential factors include: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 awareness of the availability of software designed to serve the trades;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implementation of our platform by trades businesses, and our ability to decrease time-to-value for our customers;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availability, functionality and pricing of platforms and products that compete with ours;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industry practices or methods that may or may not be addressed by our platform;</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ease of adoption and use of our platform, including AI-powered features and agentic workflows;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reliability, performance or perceived performance of our platform, including interruptions to the use of our platform and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development and awareness of our brand;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privacy, data protection, or cybersecurity breaches or incidents impacting our platform or products.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successfully address these potential factors,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competition from both established and new companies offering services similar to ours, and many of our potential customers have developed, or could develop, proprietary solutions, all of which may have a negative effect on our ability to add new customers, retain existing customers and/or grow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industry is highly competitive, and as we expand to serve additional industries and trades, we will compete against a growing number of companies and solutions specific to those industries and trades. We compete either directly or indirectly with software vendors offering point-specific tools for specific elements of trade workflows, horizontal solutions for generic functionalities, legacy on-premise field service management applications, and narrow bundled solutions for down-market trades businesses. Examples of these software vendors include Salesforce, SAP, FieldEdge, Workwave, ServiceTrade, AccuLynx, BuildOps, HouseCall Pro, JobNimbus and Jobber. The larger enterprises with whom we currently compete, or with whom we may compete in the future, have significant financial, technical, marketing and other resources, and they are able to devote meaningful resources to the development, promotion, sale and support of their solutions and services. Some existing solutions also have extensive installed customer bases and broad customer relationships, together with longer operating histories and greater name recognition than we have. Moreover, certain trade verticals we explore may already be served by well-established companies, presenting a potential challenge in establishing a foothold within those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Additionally, our competitors may make substantial investments in AI, machine learning and GenAI capabilities that may allow them to replicate key aspects of our platform more quickly and cost-effectively than previously possible. While we have made, and expect to continue to make, significant investments to integrate AI, including GenAI, into our platform, AI technologies are rapidly evolving and there can be no guarantee that our platform will remain competitive as new AI technologies are developed, adopted, and integrated into software solutions. We may also face greater competition from non-specialist solutions relying on generic LLMs, GenAI and general-purpose agents to address a broad range of business needs. As we attempt to sell our platform to new and existing customers, we must convince them that our solutions are superior to other solutions available to their organizations, including generic LLMs, software created using natural language prompts and GenAI (referred to as vibe coding) and other emerging technologies.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competitors may be better able to undertake more extensive marketing campaigns and/or offer their solutions and services at a discount to ours. Their increased deployment of AI technologies may also enable them to reduce costs while improving service quality and other capabilities. To the extent any of our competitors have existing relationships with potential customers, customers may be unwilling or unable to purchase our subscriptions because of those existing relationships and this may limit our ability to successfully compete in certain markets or trades. Additionally, new entrants to the market are focused on fast and automated implementation of their solutions, and while their products do not have our complete product sets, they provide minimum functionality that small businesses may believe to be sufficient, especially if such businesses are willing to sacrifice functionality for speed of deployment. Furthermore, advancements in, and the broad availability of, AI have lowered barriers to entry and accelerated the development and speed to market of new or competing products. If we are unable to compete with these existing or potential competitors and/or their products, particularly as they enhance their offerings through AI, the demand for our platform, our customer counts, and the revenue we generate could decline,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incorporated and are incorporating traditional AI, machine learning and GenAI into our platform. This technology is new and developing and may present operational and reputational risks or result in liability or harm to our reputation, business, results of operations or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incorporated a number of AI features into our platform and believe that providing AI tools and insights will become increasingly important to the value that our solutions and services deliver to our customers. As with many developing technologies, LLMs in particular are a new and emerging technology that is in its early stages of commercial use and presents a number of inherent risks and challenges that could affect further development, adoption, and use, and therefore our business. Due to the evolving nature of the algorithms and technology underpinning LLMs, there is a risk that our AI solutions could produce inaccurate or misleading content or other discriminatory or unexpected results or behaviors (e.g., LLM hallucinatory behavior that can generate irrelevant, nonsensical or factually incorrect results). Further, the content, analyses or recommendations generated by our LLMs could produce information or other content that infringes, misappropriates or violates the intellectual property rights of others. As we integrate agentic workflows into our platform, the actions that are taken by AI-powered agents could be incorrect or unintended, resulting in negative impacts for both us and our customers. In addition, increasing use of AI creates opportunities for the potential loss or misuse of Personal Information and other data that forms part of any data set, including any of our proprietary data assets derived from our customers’ use of our platform, that was collected, used, stored, or transferred to build our AI solutions. If our access to such data sets were materially impaired, we may also be unable to further build, train and offer our AI solutions. The occurrence of any of the foregoing could harm our reputation, business or customers and could result in additional lawsuits and regulatory investigations.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our employees, third-party service providers, strategic partners, and other contractors or consultants may input inappropriate or confidential information into an AI system (in particular a system that is managed, owned or controlled by a third-party), thereby compromising our business operations, which may cause business operation disruptions, could divert the attention of management and key information technology resources, and possibly lead to security breaches, or the unauthorized access to or loss of our confidential information or other business data.</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addition, the use of AI involves significant technical complexity and requires specialized expertise. This specialized expertise can be difficult and costly to obtain given the increasing industry focus on AI development and competition for talent. As a result, it could be expensive for us to maintain and advance our AI developments. We may not apply AI advancements quickly or well enough to our solutions or services to serve our customers, or we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not be able to extract the efficiencies for which AI presents an opportunity. While the use of AI presents opportunities, our failure to adequately leverage such opportunities may erode our competitive advantage, and harm our business and results of operations. Further, our AI solutions rely on third-party proprietary machine learning algorithms and LLMs provided by third parties, such as Microsoft and OpenAI. If we are unable to continue to use such third-party assets, or if such third-party assets become expensive, burdensome, or inefficient for us to use, we may be unable to continue to provide our AI solutions which could harm our business and results of operations. We also face significant competition from other companies with respect to utilizing AI technologies. To the extent AI technology development and utilization from our competitors proves to be successful, or more successful than our approach, demand for our platform, and thus our business, could be adversely affected. If we cannot develop, offer, or deploy new AI technologies as effectively or quickly as our competitors, or if we cannot access the infrastructure needed to continue our development, our results of operations, relationships with customers and partners, and growth could be materially and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the use of AI applications may result in future cybersecurity incidents that implicate the Personal Information of end users of such applications. Any such cybersecurity incidents related to our use of AI applications could lead to litigation or other proceedings and liability, and may adversely affect our reputation, business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any of our vendors, service providers, employees or contractors use any AI solutions in connection with our business or the services they provide to us, it may lead to the inadvertent disclosure of our confidential information, or that of our customers, into publicly available third-party training data sets, which may impact our ability to realize the benefit of, or adequately maintain, protect and enforce our intellectual property or confidential information, harming our customers and our competitive position and business. Our ability to mitigate risks associated with disclosure of our confidential information, including in connection with AI solutions, will depend on our implementation, maintenance, monitoring and enforcement of appropriate technical and administrative safeguards, policies and procedures governing the use of AI in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any content created by using LLMs may not be subject to copyright protection, which may adversely affect our intellectual property rights in, or ability to commercialize or use, the content. In the United States, a number of civil lawsuits have been initiated related to the foregoing and other concerns, the outcome of any one of which may, among other things, require us to limit the ways in which we use AI in our business and may affect our ability to develop our AI solutions and features. While AI-related lawsuits to date have generally focused on the AI service providers themselves, our use of any output produced by a LLM may expose us to claims, increasing our risks of liability. For example, the output produced by LLMs may include information subject to certain rights of publicity or privacy laws or constitute an unauthorized derivative work of the copyrighted material used in training the underlying AI model, any of which could also create a risk of liability for us, or adversely affect our customers and our business or operations. To the extent that we do not have sufficient rights to use the data or other material or content used in or produced by the GenAI tools used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Failure to address AI ethics issues by us or others in our industry could undermine public confidence in AI and slow adoption of AI in our products and services.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Moreover, the regulatory framework for AI (and machine learning technology) is rapidly evolving, and it is possible that new laws and regulations will be adopted in the United States and in non-U.S. jurisdictions, or that existing laws and regulations may be amended or interpreted in ways that would affect the operation of our business, including the way in which we use AI and machine learning technology. The scope and direction of orders, policies, rules and regulations related to AI and machine learning at the federal level in the United States in the near future is uncertain. In January 2025, President Trump issued an Executive Order that, among other things, requires certain agencies to develop and submit to the President action plans to “sustain and enhance America’s global AI dominance,” and to specifically review all rulemaking taken pursuant to rescinded executive orders issued under prior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administrations and, if possible, rescind any such rulemaking to the extent it is inconsistent with, or presents a barrier to, the Trump Administration’s new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platform, products, services, or operations to ensure compliance or remain competitive. Meanwhile, various U.S. states have enacted laws that regulate the use of AI, including several laws enacted in California in 2024 and 2025 that provide consumers with certain protections around companies’ use of AI, such as by requiring companies to disclose certain uses of GenAI,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GenAI in certain consumer interactions. The California Privacy Protection Agency also recently finalized regulations under the California Consumer Privacy Act, as amended by the California Privacy Rights Act of 2018 (collectively, the “CCPA”), regarding the use of automated decision-making and providing disclosures to consumers regarding such use. Implementation standards and enforcement practice are likely to remain uncertain for the foreseeable future, and we cannot determine the impact future laws, regulations, standards, or perception of their requirements may have on our platform and our business. In addition, on May 21, 2024, the European Union approved the EU Artificial Intelligence Act (the “EU AI Act”), which establishes a comprehensive, risk-based governance framework for AI in the EU market. Although we are not currently subject to the EU AI Act, we may become subject to it in the future, which may affect our use of AI technologies and our ability to provide, improve or commercialize our platform, and could adversely affect our business,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We may not always be able to anticipate how to respond to these new or updated laws or regulations, and our ability to provide AI-driven insights and products may also be constrained by current or future regulatory requirements in the United States or in non-U.S. jurisdictions, which could restrict or impose burdensome and costly requirements on our ability to leverage data in innovative ways and negatively affect the performance of our products, services, and business and the way in which we use AI technologies. Further, the cost to comply with such laws or regulations, or decisions or guidance interpreting existing laws, including the redesign of our platform to achieve compliance, could be significant and could increase our operating expenses, which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the estimates and assumptions we have used to calculate the size of our addressable market opportunity are inaccurate, our future growth rate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estimated the size of our addressable market opportunity based on data published by third parties and on internally generated data and assumptions. While we believe our market size information is generally reliable, such information is inherently imprecise, and relies on our and third parties’ projections, assumptions and estimates within our target market, which are necessarily subject to a high degree of uncertainty and risk due to a variety of factors, including those described in this Annual Report. If such third-party or internally generated data proves to be inaccurate or we make errors in our projections, assumptions or estimates based on that data, including how current customer data and trends may apply to potential future customers and the number and type of potential customers, our addressable market opportunity or our future growth rate may be less than we currently estimate. In addition, these inaccuracies or errors may cause us to divert resources from more valuable alternative projects and harm our business. The variables that go into the calculation of our market opportunity are subject to change over time, including the amount of customer GTV that we can recognize as revenue, and there is no guarantee that any particular number or percentage of addressable end customers or companies covered by our addressable target market opportunity estimates will purchase our platform at all or generate any particular level of revenue for us. Any expansion in our market depends on a number of factors, including the cost, performance and perceived value associated with our platform and those of our competitors. Even if our addressable market meets our size estimates, our business could fail to grow at similar rates, if at all, or we could capture a percentage of customer GTV as revenue that is less than we currently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expect. Accordingly, the information regarding the size of our addressable market opportunity included in the documents we file or furnish with the Securities and Exchange Commission (the “SEC”), should not be taken as indicative of our future growth.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unsuccessful in making, integrating and maintaining acquisitions, including past acquisitions.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in the past sought, and may in the future seek, to acquire or invest in businesses, joint ventures and platform technologies that we believe could complement or expand our platform, enhance our technology or otherwise offer growth opportunities. We also may enter into strategic relationships with other businesses to expand our platform, which could involve investments in other companies. Any acquisition, investment or strategic transaction, including past acquisitions may result in unforeseen operating difficulties and expenditures. In particular, we may encounter difficulties assimilating or integrating the businesses, technologies, offerings, personnel or operations of the acquired companies, particularly if the key personnel of the acquired company choose not to work for us, their offerings are not easily adapted to work with our platform, their systems and operations are difficult to integrate or we have difficulty retaining their customers. Acquisitions, including integration efforts, may also disrupt our business, require significant resources, divert significant management attention and impose legal and regulatory burdens to the extent such transactions expand our geographic footprint.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Negotiating these transactions can be time-consuming, difficult and expensive, and our ability to complete these transactions may often be subject to approvals that are beyond our control. Even if announced, we may not complete a transaction. The benefits of an acquisition or strategic transaction, including past acquisitions may also take considerable time to develop, and we cannot be certain that any particular transaction will produce the intended benefits. Further, acquisitions could result in potential dilutive issuances of equity securities, use of significant cash balances, incurrence of debt (and increased interest expense), contingent liabilities or amortization expenses related to intangible assets or write-offs of goodwill and intangible assets. If we are unable to successfully identify, complete and integrate our acquisitions and strategic transactions, we may not realize the expected benefits of such transactions or become exposed to additional liabilities, and our business, financial condition and results of operations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depends on a strong brand, and if we are not able to maintain and enhance our brand and reputation, our ability to maintain and expand our customer base will be impaired, and our business, financial condition and results of operations may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that the ServiceTitan brand identity and awareness is critical to our sales and marketing efforts. We also believe that maintaining and enhancing the ServiceTitan brand is critical to maintaining and expanding our customer base and, in particular, conveying to customers that our platform offers capabilities that address the needs of the trades across a wide array of verticals. We anticipate that, as our market becomes increasingly competitive, maintaining and enhancing our brand may become increasingly difficult and expensive.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any unfavorable publicity about our company or our management, including about the quality, stability and reliability of our platform, changes to our platform, our privacy, data protection and cybersecurity practices, litigation, employee relations, regulatory enforcement and other actions involving us, as well as the perception of us and our platform by our customers and end customers, even if inaccurate, could cause a loss of confidence in us and adversely affect our brand. Such negative publicity also could have an adverse effect on the size and engagement of our customer base and could result in decreased revenue, which could have an adverse effect on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our management team and other highly skilled personnel, and we may fail to attract, retain, motivate or integrate highly skilled personnel,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future success is substantially dependent on our ability to attract, retain and motivate the members of our management team and other key personnel throughout our organization. In particular, we are highly dependent on the services of Ara Mahdessian, our co-founder and Chief Executive Officer, and Vahe Kuzoyan, our co-founder and President (together, the “Co-Founders”), each of whom is critical to our ability to achieve our vision and strategic priorities. We rely on our management team in the areas of operations, security, research and development, sales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marketing, support and general and administrative functions. Our employees, including our executive officers, work for us on an “at-will” basis, which means they may terminate their employment with us at any time. If Mr. Mahdessian or Mr. Kuzoyan or one or more of our key personnel or members of our management team resigns or otherwise ceases to provide us with their services, this could impair our ability to execute our growth strategy, have a negative impact on our business, financial condition and results of operations, and cause employee morale problems and the loss of key personnel or members of our management or clients.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future success also depends, in part, on our ability to continue to attract and retain highly skilled personnel. Competition for these personnel is intense, and the industry in which we operate is generally characterized by significant competition for skilled personnel as well as high employee attrition. We may not be successful in attracting, retaining, training or motivating qualified personnel to fulfill our current or future needs. Additionally, the former employers of our new employees may attempt to assert that our new employees have breached their legal obligations, which may be time-consuming, distracting to management and may divert our resources. Our culture and brand help us attract and retain highly skilled personnel in a competitive environment. We have in the past been, and may in the future be, subject to employment law-related claims and disputes. Any negative publicity resulting from such claims or disputes could adversely affect our ability to attract and retain skilled personnel, harm our brand and otherwise require us to use or divert financial and management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Current and potential personnel also often consider the value of equity awards they receive in connection with their employment, and to the extent the perceived value of our equity awards declines, our ability to attract and retain highly skilled personnel may be harmed.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attract and integrate new personnel or retain and motivate our current personnel,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create and maintain a successful company culture as we grow, our success and our business may be harmed.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believe our current corporate culture fosters innovation, teamwork, passion and focus on execution and has contributed to our success. As we grow and develop our infrastructure, including as a public company, and expand our operations both geographically and across the trades, we may find it difficult to maintain our corporate culture and/or successfully adapt our corporate culture to ongoing changes. Any failure to preserve our culture and/or successfully adapt our culture to changing conditions could harm our future success, including our ability to recruit and retain qualified personnel, innovate and operate effectively, and execute on our business strategies. If we experience any of these risks in connection with future growth, it could impair our ability to attract new customers and retain existing customers and expand their use of our platform, all of which could adversely affect our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Customers and Revenue Model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failure to offer high quality support for our customers, including throughout the implementation process, may harm our relationships with our customers and, consequently,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our customer experience teams to provide implementation, training and support services. We have previously experienced declines in our net promoter score and if we do not provide effective onboarding services or ongoing support, customers may not receive the full benefits of our platform, may delay or forgo future expansion of their use of our platform or may seek to terminate their agreements with us. Our reputation with prospective or current customers or the trades industry could also be damaged. The number of our customers has grown significantly and due to the complexity of our product, they often heavily rely on our customer success and our customer experience teams, even for routine matters, which has put additional pressure on our customer success teams. If we experience increased customer demand for support, we may face increased costs that may harm our results of operations. As a result, if we are unable to provide efficient, high-quality customer support services, if we need to hire additional support resources, or if there is a market perception that we do not maintain high- quality customer support, our business, financial condition and results of operations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increase our customer base and achieve broader market acceptance of our platform will depend on our ability to develop and expand our sales and marketing capabilities.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subscriptions to access our platform will depend to a significant extent on our ability to expand our sales and marketing capabilities, including adapting to new trades verticals such as commercial services and specialty trades subcontractors. It is difficult to predict customer demand, customer retention, the size and growth rate of the trades industry, the entry of competitive products or the success of existing competitive products. Our sales efforts involve educating prospective customers about the uses and benefits of our Core and add-on products. We expect that we will continue to need intensive sales efforts to educate prospective customers about the uses and benefits of our platform, and we may have difficulty convincing prospective customers of the value of adopting our platform. Identifying, recruiting and training qualified sales representatives is time-consuming and resource- intensive, and they may not be fully-trained and productive for a significant amount of time following their hiring, if ever. In addition, the cost to acquire customers is high due to these considerable sales and marketing efforts.</w:t>
      </w:r>
    </w:p>
    <w:p>
      <w:pPr>
        <w:pStyle w:val="TextBody"/>
        <w:bidi w:val="0"/>
        <w:spacing w:before="240" w:after="283"/>
        <w:jc w:val="both"/>
        <w:rPr>
          <w:rFonts w:ascii="Times New Roman" w:hAnsi="Times New Roman"/>
          <w:sz w:val="20"/>
        </w:rPr>
      </w:pPr>
      <w:r>
        <w:rPr>
          <w:rFonts w:ascii="Times New Roman" w:hAnsi="Times New Roman"/>
          <w:color w:val="231F20"/>
          <w:sz w:val="20"/>
        </w:rPr>
        <w:t>We also dedicate significant resources to marketing programs, including telemarketing, branded events and digital advertising through services such as Google AdWords. The effectiveness and cost of our online advertising has varied over time, and may vary in the future, due to competition for key search terms, changes in search engine use, changes in the search algorithms used by major search engines and laws, regulations and other obligations relating to privacy or data protection that affect online advertising. These efforts will require us to invest significant financial and other resources. We rely on a variety of direct marketing techniques, including telemarketing, email marketing and direct mail. Our marketing activities, and the marketing activities of our customers, are regulated under laws such as the Telephone Consumer Protection Act, the Telemarketing Sales Rule, and any state equivalents, and various other federal and state laws regarding marketing and solicitation, as well as general data protection laws, including the Controlling the Assault of Non-Solicited Pornography and Marketing Act of 2003 (the “CAN-SPAM”), and various state privacy laws, including the CCPA, and other recently passed state laws, that govern these activities and impose significant restrictions on us and our customers. Any violations or perceptions of violations of these laws and regulations may harm our business, financial condition and results of operations. Additionally, any changes to the above-mentioned laws, or any applicable privacy, data protection and cybersecurity laws, their interpretation, or enforcement of such laws by the government or private parties that further restrict the way we interact with our potential customers or generate leads could adversely affect our ability to attract customers and could harm our business, reputation and brand, financial condition and results of operations. For additional information, see “—</w:t>
      </w:r>
      <w:r>
        <w:rPr>
          <w:rFonts w:ascii="Times New Roman" w:hAnsi="Times New Roman"/>
          <w:i/>
          <w:color w:val="231F20"/>
          <w:sz w:val="20"/>
        </w:rPr>
        <w:t>Risks Related to Data Privacy, Data Protection, Cybersecurity and Technology—The collection, processing, storage, use, and disclosure of personal information are governed by a rapidly evolving framework of privacy, data protection, cybersecurity, data transfers or other laws or regulations worldwide and limit the use and adoption of our services and adversely affect our business</w:t>
      </w:r>
      <w:r>
        <w:rPr>
          <w:rFonts w:ascii="Times New Roman" w:hAnsi="Times New Roman"/>
          <w:color w:val="231F20"/>
          <w:sz w:val="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business will be harmed if our efforts do not generate a correspondingly significant increase in revenue. Even if we are successful in convincing prospective customers of the value of our platform, they may decide not to purchase a subscription for a variety of reasons, some of which are out of our control. We spend substantial time and resources on our sales efforts without any assurance that our efforts will result in a sale. The failure of our efforts to secure sales after investing resources in a lengthy sales process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the future, we may implement changes to our pricing model. However, there is a possibility that these modifications may not achieve the intended effectiveness, potentially posing challenges in sustaining customer satisfaction, retention and overall revenue generation. Failure to achieve the desired outcomes could adversely affect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 majority of our customers are small- and medium-sized businesses, which can be more difficult and costly to retain than large businesses and may increase the impact of economic fluctuations on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Due in part to industry consolidation, our largest customers are growing rapidly. However, a majority of our customers are small- and medium-sized businesses (“SMBs”), and we expect they will continue to comprise a large portion of our customer base for the foreseeable future. We define SMBs in the context of our customer base as customers that have fewer than 1,000 employees. Selling to and retaining SMBs can be more difficult than retaining large businesses, as SMBs often have higher rates of business failure and more limited resources. SMBs may not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sufficient office resources or may be constrained by other factors, such as seasonality, which makes it difficult for them to dedicate resources to the implementation, onboarding and training necessary to obtain the full benefits of our platform. SMBs are also typically more susceptible to the adverse effects of economic fluctuations. Adverse changes in the economic environment, or business failures of our SMB customers, may have a greater impact on us than on our competitors who do not focus on SMBs to the extent that we do.</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Reliance on Third Parties</w:t>
      </w:r>
    </w:p>
    <w:p>
      <w:pPr>
        <w:pStyle w:val="TextBody"/>
        <w:bidi w:val="0"/>
        <w:spacing w:before="240" w:after="283"/>
        <w:jc w:val="both"/>
        <w:rPr>
          <w:rFonts w:ascii="Times New Roman" w:hAnsi="Times New Roman"/>
          <w:sz w:val="20"/>
        </w:rPr>
      </w:pPr>
      <w:r>
        <w:rPr>
          <w:rFonts w:ascii="Times New Roman" w:hAnsi="Times New Roman"/>
          <w:b/>
          <w:i/>
          <w:color w:val="231F20"/>
          <w:sz w:val="20"/>
        </w:rPr>
        <w:t>We rely on software and services licensed from other third parties. Defects in or the loss of software or services from third parties could increase our costs and adversely affect the quality of our service.</w:t>
      </w:r>
      <w:r>
        <w:rPr>
          <w:rFonts w:ascii="Times New Roman" w:hAnsi="Times New Roman"/>
          <w:color w:val="231F2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upon certain partners, vendors and other service providers to provide software employed by our platform or customers using our platform, including to enable cloud-based phones and GPS, payments, and manage customer payroll, and it is possible that such third-party software or services may not be reliable or easy to replace. Disruptions to the services and functionality provided by the partners and vendors upon which we rely to provide our platform and related services could cause service interruptions, and widespread outages could disrupt our services to our customers, which could adversely affect our business. Furthermore, we may in the future have disputes with certain of our partners, vendors and other service providers. If, in connection with such a dispute, a partner, vendor or service provider terminates its relationship with us or otherwise limits the provision of their software, services or data to us, the availability or usage of our platform could be disrupted. If the partners, vendors and other service providers we rely upon cease to provide access to the software, services or data that we and our customers and consumers use, whether in connection with disputes or otherwise, do not provide access to such software and/or data on terms that we believe to be attractive or reasonable, or do not provide us with the most current version of such software, we may be required to seek comparable software and/or data from other sources, which may be more expensive or inferior, or may not be available at all, or may disrupt our services to our customers, any of which could adversely affect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experience and satisfaction depend upon the interoperability of our platform across devices, operating systems and third-party applications that we do not control.</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 important feature of our platform is its broad interoperability with a range of devices, web browsers, operating systems and third-party applications. We have integrations with a variety of vendors. As part of our integrations with certain vendors, we have had to make concessions limiting our ability to engage with such vendor’s competitors, which could potentially impact our customer experience and our ability to interoperate with other third-party applications. Our Application Programming Interfaces (“APIs”), enable customers to connect other third-party software, applications, partner services and data to our platform. Accordingly, we are dependent on the accessibility of our platform across web browsers, operating systems and the third-party applications that we often do not control. Third-party applications, products and services are constantly evolving, and we may not be able to maintain or modify our platform to ensure its compatibility with third-party offerings following development changes. In addition, some of our competitors may be able to disrupt the operations or compatibility of our platform with their applications that some of our customers may rely upon. If our platform has integration or operability failures with these operating systems or third-party applications, customers may not adopt our platform or our APIs and related functionality may not be useful to customers, which could adversely affect our business, financial conditions, or results of operations. Additionally, as our platform evolves, we expect the types and levels of competition we face to increase. Should any of our competitors or third-party services on our platform modify their technologies, standards or terms of use in a manner that degrades the functionality or performance of our platform or is otherwise unsatisfactory to us or gives preferential treatment to our competitors’ products or services, our platform,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data centers, such as Azure, to host and operate our platform, and any disruption of or interference with our use of these facilities may negatively affect our ability to maintain the performance and reliability of our platform, which could cause our business to suffer.</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customers depend on the continuous availability of our platform. We currently host our platform and serve our customers primarily using Microsoft Azure (“Azure”). Consequently, we may be subject to service disruptions, as well as failures to provide adequate support, for reasons that are outside of our control,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performance and availability of Azure and other third-party providers of cloud infrastructure services with the necessary speed, data capacity and security for providing reliable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decisions by Azure and other owners and operators of the data centers where our cloud infrastructure is deployed to terminate our subscriptions, discontinue services to us, shut down operations or facilities, increase prices, change service levels, limit bandwidth, declare bankruptcy or prioritize the traffic of other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physical break-ins, acts of war or terrorism, human error or interference, including by disgruntled employees, former employees or customers and other catastrophic events;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cyberattacks, including denial of service attacks, targeted at us, our data centers or the infrastructure of the Internet.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adverse effects of any service interruptions on our reputation, results of operations and financial condition may be disproportionately heightened due to the nature of our business and the fact that our customers have a low tolerance for interruptions of any duration.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To meet the performance and other requirements of our customers, we intend to continue to make significant investments to increase capacity and to develop and implement new technologies in our cloud infrastructure operations. Any renegotiation or renewal of our agreement with Azure, or a new agreement with another provider of cloud-based services, may be on terms that are significantly less favorable to us than our current agreement. Additionally, these new technologies, which include databases, application and server optimizations, network strategies and automation, are often advanced, complex, new and untested, and we may not be successful in developing or implementing these technologies. It takes a significant amount of time to plan, develop and test improvements to our technologies and cloud infrastructure, and we may not be able to accurately forecast demand or predict the results we will realize from such improvements. To the extent that we do not effectively scale our infrastructure to meet the needs of our growing customer base and maintain performance as our customers expand their use of our platform, or if our cloud-based server costs were to increase, our business, financial condition, results of operations and prospects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procure third-party insurance policies to cover various operations-related risks including employment practices liability, workers’ compensation, business interruptions, cybersecurity and data breaches, crime, directors’ and officers’ liability, occupational accident liability for customers and general business liabilities.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they would be unable to pay any operations-related claims that we make. Further, some of our agreements with vendors require that we procure certain types of insurance, and if we are unable to obtain and maintain such insurance, we would be in violation of the terms of these vendor agreements.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(i) the cost per claim, premiums or the number of claims significantly exceeds our historical experience and coverage limits, (ii) we experience a claim in excess of our coverage limits, (iii) our insurance providers fail to pay on our insurance claims, (iv) we experience a claim for which coverage is not provided or (v) the number of claims under our deductibles or self-insured retentions differs from historical averages.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payment processing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third-party payment processors to collect subscription fees and other usage-based revenue from our customers. Under our commercial agreements, such payment processors may terminate the relationship with advanced notice. If one of our payment processors terminates its relationship with us or refuses to renew its agreement with us on commercially reasonable terms, we would be required to find alternative payment processors and may not be able to secure similar terms or replace such payment processors in an acceptable time frame. An inability to charge our customers or collect revenue for an extended period could affect our cash flows and impair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While we do not process any payments for our customers’ end customers, we do have complex relationships with third-party processors where we generate revenue through referral agreements and as an independent sales organization (“ISO”) through our FinTech offerings to customers. A significant portion of payments by the end customers are made by credit card or debit card using these third-party payment services to which our customers have a direct contractual relationship. If one of these third- party processors terminates its relationship with us or refuses to renew its partnership with us on commercially reasonable terms, or the software and services provided by our payment processors does not meet our customer’s expectations, we may be required to find an alternative payment processor or consider offering new payment options and products ourselves that may be subject to additional regulations and risks. None of our agreements with payment processors are exclusive; however, our agreements with certain payment processors limit our ability to induce existing customers to migrate to alternative payment processors, which could potentially impact our customers’ experience or satisfaction with our services. We are also subject to a number of other laws and regulations relating to the financial solutions we offer, including with respect to money laundering, privacy and cybersecurity. If we fail to, or are alleged to fail to, comply with applicable regulations, we may be subject to claims and litigation, regulatory investigations and proceedings, civil or criminal penalties, fines or higher transaction fees and may lose the ability to offer financial solutions to customers, which could make our platform less convenient and attractive to trades businesses. We also rely on data provided by third parties for financial statement reporting, and there could be inaccuracies and other errors in such data. If any of these events were to occur, our business, financial condition and results of operations could be adversely affected.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are subject to the Payment Card Industry Data Security Standard (“PCI DSS”). The PCI DSS is a specific set of comprehensive security standards required by credit card brands for enhancing payment account data security, including, but not limited to, requirements for security management, policies, procedures, network architecture and software design, certification requirements, which could change or be reinterpreted to make it difficult or impossible for us to comply. Our third-party payment processors require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customers, be costly to implement, or difficult to follow. If we fail to comply with these rules or regulations, we may be subject to fines and higher transaction fees and lose our ability to offer payment solutions to customers. Compliance does not guarantee a completely secure environment and notwithstanding the results of a compliance assessment there can be no assurance that payment card brands will not request further compliance assessments or set forth additional requirements to maintain access to credit card processing services. Compliance is an ongoing effort and the requirements evolve as new threats are identified. In the event that we were to lose PCI DSS compliance status (or fail to renew compliance under a future version of the PCI DSS), or if our data security systems are breached or compromised, we may be liable for card-issuing banks’ costs, subject to fines and higher transaction fees and lose our ability to accept credit and debit card payments from our customers, process electronic funds transfers or facilitate other types of online payments. We have also agreed to indemnify our third-party payment processors for violating payment card networks rules. Any of the foregoing risks could adversely affect our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Data Privacy, Data Protection, Cybersecurity and Technology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or our third-party service providers experience a cybersecurity breach or other incident, including any breach or incident that allows, or is perceived to allow, unauthorized access to our platform or our Sensitive Information, our reputation and brand, business, financial condition and results of operations could be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rely on our own, and our third-party service providers’, platforms, computer systems, hardware, software, technology infrastructure and online sites and networks for both internal and external operations that are critical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to or unauthorized access to third-party IT Systems can materially impact our operations and financial results. If we experience difficulties in implementing new or upgraded information systems or experience significant system failures, or if we are unable to successfully modify our information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systems-related problems could, in turn, adversely affect our business, reputation and brand, results of operations and financial condition.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may rely on third parties when deploying, servicing or otherwise operating our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personal information and other information about individuals, our customers, employees, contractors and business partners, including email addresses, physical addresses, phone numbers, Social Security numbers, credit card data and personally identifiable information, as well as trade secrets and other proprietary business information (collectively, “Sensitive Information”). Our third- party service providers may fail to adequately secure their or our IT Systems or our Sensitive Information. Our third-party service providers’ IT Systems have been, and may in the future be, breached or contain exploitable defects or “bugs” that could result in a breach of or disruption to our or our third-party service providers’ IT Systems and other cybersecurity risks discussed below. Our ability to monitor our service providers’ security is limited, and, in any event, third parties may be able to circumvent those security measures. Moreover, techniques used to obtain unauthorized access to systems and networks, as discussed in more detail below, change frequently and may not be known until launched against us or our third-party service providers. These risks also are heightened when service providers work remotely. Moreover, we have acquired and may continue to acquire companies with cybersecurity vulnerabilities and/or unsophisticated security measures, which exposes us to cybersecurity, operational, and financial risks, some of which may be significant.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use of our platform involves the transmission, storage and processing of Sensitive Information. The secure processing, maintenance, transmission and storage of our Sensitive Information is critical to us, and we devote significant resources to protecting this information. Additionally, remote working arrangements at our company, and many of our third-party providers, increases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face numerous and evolving cybersecurity risks that threaten the confidentiality, integrity and availability of our IT Systems and Sensitive Information,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products or services. 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detect, investigate, remediate or recover from future attacks or cybersecurity breaches or other incidents, or to avoid a material adverse impact to our IT Systems, Sensitive Information or business. In this fast-changing threat environment, our efforts may not be sufficient to identify all gaps, threats and vulnerabilities or prevent a cybersecurity breach or other incident. If we or our third-party service providers fail to respond appropriately to any identified gaps, threats or vulnerabilities, including by providing adequate funding and prioritizing strategic initiatives, or if we or our third-party service providers fail to adequately identify the gaps, threats or vulnerabilities, we face greater risk of a security incident. Notwithstanding our efforts, we and our third-party service providers have failed to and may in the future fail to detect cybersecurity breaches or other incidents, including breaches or incidents that may compromise our Confidential Information, and may face difficulties or delays in identifying any such breaches or incidents.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breaches or incidents have resulted in and may in the future result in theft, loss, damage, or unavailability of, or unauthorized access to or use, disclosure, modification or other processing of, Sensitive Information, loss of access to data or systems or cause other business delays or disruptions.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Third parties may attempt to compromise our employees and their access into internal IT Systems to gain access to accounts, our Sensitive Information or our IT Systems. Employee error, malfeasance or other errors could result in an actual or perceived cybersecurity breach or other incident. This risk may be heightened as we transition to an increasingly distributed workforce. In addition, our employees, customers or end customers may also be subject to cyberattacks (including social engineering/phishing) or otherwise disclose or lose control of their passwords, or use the same or similar passwords on third parties’ systems, which could lead to unauthorized access to their accounts on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unauthorized or inadvertent access to, or an actual or perceived cybersecurity breach or other incident impacting, our IT Systems or those of our third-party service providers, could result in an actual or perceived loss or unavailability of, unauthorized access to, or unauthorized use, disclosure, modification or other processing of, our Sensitive Information, regulatory investigations and other proceedings, orders and other obligations, claims, demands and litigation, indemnity obligations, damages, penalties, fines and other costs in connection with actual and alleged contractual breaches, violations of applicable laws and regulations and other liabilities and our platform may be perceived as insecure and we may lose existing customers or fail to attract and retain new customers.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Any such breach or other incident affecting us, our third-party service providers, customers or end customers, or the perception that one has occurred, could also materially damage our reputation and adversely harm our business, financial condition and results of operations, including reducing our revenue, causing us to issue credits to customers, negatively impacting our ability to accept and process customer payment information, eroding our customers’ trust in our services and solutions, subjecting us to costly notifications to customers and individuals and costly remediation measures, resulting in loss of, and harming our ability to retain customers, harming our brand or increasing our cost of acquiring new customers, or subject us to claims by third parties that we have breached our privacy-, data protection-, cybersecurity- or confidentiality-related obligations that could materially increase our costs, adversely impact how we operate our IT Systems and collect and use customer information and competitively disadvantage our business. In addition, many governments, including all fifty states in the United States, have enacted laws requiring companies to notify individuals of certain breaches involving Sensitive Information. These mandatory disclosures regarding such a breach are costly to implement and often lead to widespread negative publicity, which may cause our customers to lose confidence in the effectiveness of our data security measures. The release of Sensitive Information may also lead to identity theft and related fraud, litigation, investigations, claims or other proceedings against us by affected individuals, customers and/or by regulators, or public statements against us by advocacy groups or others, and the outcome of such proceedings, which could include penalties or fines and could have a material and adverse effect on our business, financial condition and results of operations. In addition, we may incur large expenditures to investigate or remediate, to recover information, to repair or replace networks or IT Systems, to protect against similar future events or to comply with existing and future cybersecurity, data protection and privacy laws and regulations. In addition, the costs of maintaining adequate protection and insurance coverage against such threats, as they develop in the future (or as legal requirements related to cybersecurity increase) could be material.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maintain technology errors, omissions and cyber liability insurance policies covering certain damages. However, we cannot be certain that our coverage will be adequate for liabilities actually incurred relating to any breach or incident relating to privacy, data protection or cybersecurity, or that insurance will continue to be available to us on economically reasonable terms, or at all. Further, if another company within our industry experiences a high-profile breach or incident this might lead to a loss of trust in our industry generally, which could adversely impact our reputation and brand, and adversely harm our business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Real or perceived defects, errors, or vulnerabilities in our platform could harm our reputation and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software underlying our platform is highly complex and may contain undetected errors or vulnerabilities, some of which may only be discovered after the code has been released. Our practice is to effect frequent releases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software updates, sometimes multiple times per day. The third-party software that we incorporate into our platform may also be subject to errors or vulnerabilities. Any errors or vulnerabilities discovered in our code or from third-party software after release could result in negative publicity, a loss of customers or loss of revenue and access or other performance issues. Such vulnerabilities could also be exploited by malicious actors and result in exposure of information of customers on our platform, or otherwise result in a cybersecurity breach or other incident. If we or our third-party service providers experience a cybersecurity breach or security incident, including any breach or incident that allows, or is perceived to allow, unauthorized access to our platform or our customers’ information, our reputation, business, financial condition and results of operations could be adversely affected.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could be adversely impacted by changes in the Internet and mobile device accessibility of customers.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business depends on our customers’ access to our platform via a mobile device or personal computer and the Internet. Mobile operating systems, such as Android and iOS, and their respective application marketplaces that make our mobile applications available, are especially important in the context of our solution, as we address the needs of technicians in the field across trades businesses. Any changes in such systems and application marketplaces that degrade the functionality of our mobile applications or give preferential treatment to our competitors’ mobile applications could adversely affect our platform’s usage on mobile devices. If such mobile operating systems or application marketplaces limit or prohibit us from making our mobile applications available to our customers or their end customers, make changes that degrade the functionality of our mobile applications, increase the cost of using our mobile applications, impose terms of use unsatisfactory to us or modify their search or ratings algorithms in ways that are detrimental to us, or if our competitors’ placement in such mobile operating systems’ application marketplace is more prominent than the placement of our apps, our platform could be adversely impacted. Further, as new mobile devices and mobile platforms are released, there is no guarantee that certain mobile devices will continue to support our platform or effectively roll out updates to our mobile applications.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may operate in jurisdictions that provide limited Internet connectivity. Internet access and access to a mobile device or personal computer are frequently provided by companies with significant market power that could take actions that degrade, disrupt or increase the cost of customers’ ability to access our platform.</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Frequent or persistent interruptions could cause existing or prospective customers to believe that our platform is unreliable, leading them to switch to our competitors, which could materially adversely affect our reputation and brand, business, financial condition, results of operations and prospects. In addition, the Internet infrastructure that we and trades businesses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collection, processing, storage, use and disclosure of personal information are governed by a rapidly evolving framework of privacy, data protection, cybersecurity, data transfers or other laws or regulations worldwide and limit the use and adoption of our services and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We receive, store, process and use a large volume of Personal Information and other customer information from a wide range of sources, including customers, potential customers, vendors and employees. There are numerous federal, state, local and international laws and regulations regarding privacy, data protection, cybersecurity, marketing and telemarketing activities and the storing, sharing, use, processing, transfer, disclosure and protection of Personal Information and other information, the scope of which are changing, subject to differing interpretations, and may be inconsistent among jurisdictions, or conflict with other rules or other actual or asserted obligations. We also post privacy policies, which we are legally obligated to comply with and are subject to contractual obligations to third parties related to privacy, data protection and cybersecurity. As a result, we are subject to federal, state, local and international laws regarding data protection, privacy, cybersecurity, and the storing, sharing, use, disclosure and protection of Personal Information. The regulatory framework for data protection, privacy and cybersecurity worldwide is, and is likely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remain, uncertain for the foreseeable future, and it is possible that these or other actual or alleged obligations may be interpreted and applied in a manner that is inconsistent from one jurisdiction to another and may conflict with other rules or obligations or our practices.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Regulation of data protection, privacy and cybersecurity in the United States is rapidly growing, particularly at the state level. Several states in which we operate or may in the future operate have begun enacting new data privacy laws. For example, the CCPA introduced new rights for California residents and obligations for covered businesses collecting, using, disclosing and processing Personal Information, including obligations to: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Personal Information of California residents on the business’s behalf. The enactment of the CCPA has prompted a wave of similar legislative development, and general data privacy statutes that share similarities with the CCPA are now in effect and enforceable in numerous states. These new laws, and others that will be effective in the coming years could further complicate compliance efforts and increase legal risk and compliance costs for us, the third parties upon whom we rely, and our customers. In addition, the development of numerous U.S. state laws creates the potential for a patchwork of overlapping but different and potentially conflicting state law requirements, which could make compliance challenging. For example, in order to comply with the varying state laws around breaches involving information, we must maintain adequate security measures, which require significant investments in resources and ongoing attention. </w:t>
      </w:r>
    </w:p>
    <w:p>
      <w:pPr>
        <w:pStyle w:val="TextBody"/>
        <w:bidi w:val="0"/>
        <w:spacing w:before="240" w:after="283"/>
        <w:jc w:val="both"/>
        <w:rPr>
          <w:rFonts w:ascii="Times New Roman" w:hAnsi="Times New Roman"/>
          <w:sz w:val="20"/>
        </w:rPr>
      </w:pPr>
      <w:r>
        <w:rPr>
          <w:rFonts w:ascii="Times New Roman" w:hAnsi="Times New Roman"/>
          <w:color w:val="231F20"/>
          <w:sz w:val="20"/>
        </w:rPr>
        <w:t>Additionally, certain of our products record or transcribe phone and other conversations on behalf of our customers for coaching and other quality assurance purposes, and we also may record phone calls with our customers. With respect to the use of Personal Information for direct marketing purposes–both via telephone calls and email and text-based messaging–laws,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CAN-SPAM, and use of Personal Information in relation to other state consumer protection and communication privacy laws, such as California’s Invasion of Privacy Act. In particular, the Telephone Consumer Protection Act, the Telemarketing Sales Rule as interpreted and implemented by the Federal Communications Commission (“FCC”), and U.S. courts (collectively, the “TCPA”), impose significant restrictions on the use of telephone calls and text messages to residential and mobile telephone numbers as a means of communication when prior consent of the person being contacted has not been obtained. Additionally, the CAN-SPAM establishes specific requirements for commercial email messages and specifies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While we strive to ensure that our marketing communications comply with the requirements set forth in the CAN-SPAM Act, any violations could result in the FTC seeking civil penalties against us. In addition, there is a risk if our customers or end customers use our platform in a manner that does not comply with applicable law or our policies. For additional information, see “—</w:t>
      </w:r>
      <w:r>
        <w:rPr>
          <w:rFonts w:ascii="Times New Roman" w:hAnsi="Times New Roman"/>
          <w:i/>
          <w:color w:val="231F20"/>
          <w:sz w:val="20"/>
        </w:rPr>
        <w:t>Risks Related to Data Privacy, Data Protection, Cybersecurity and Technology—Our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r>
        <w:rPr>
          <w:rFonts w:ascii="Times New Roman" w:hAnsi="Times New Roman"/>
          <w:color w:val="231F20"/>
          <w:sz w:val="20"/>
        </w:rPr>
        <w:t>.” Our and our customers’ activities must comply with the above-mentioned laws.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In addition, data protection, privacy and cybersecurity laws outside the United States, including in the European Union, United Kingdom, or Australia, may impose obligations on us, directly or by contract. For example, the General Data Protection Regulation imposes various requirements regarding the processing of Personal Information, including requirements regarding transparency, lawfulness of processing, privacy rights, compliant contracting, data minimization, data breach notification, data re-usage, data retention, security of processing and international data transfers. A number of legislative proposals in the European Union have imposed, and could continue to impose, new obligations in areas affecting our business, including the Artificial Intelligence Act and the Data Act. Some countries are considering passing, or have passed, legislation implementing data protection requirements or requiring local storage and processing of information, or similar requirements, that could increase the cost and complexity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delivering our services, and new countries and territories are adopting such legislation or other obligations with increasing frequency. With various U.S. and foreign laws and regulations imposing new and relatively burdensome obligations, and with substantial uncertainty over the interpretation and application of these laws and regulations, including the potential for various regulatory or other governmental bodies to enact new or additional laws or regulations, to issue rulings that invalidate prior laws or regulations or to increase penalties significantly, we may face challenges in addressing their requirements and making necessary changes to our policies, practices and commercial agreements, and may incur significant costs and expenses in an effort to do so, which could result in potential liability and adversely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federal, state, local and international laws and regulations, which, as mentioned, in some cases can be enforced by private parties in addition to government entities, are increasingly restricting the collection, processing and use of Personal Information. We continue to monitor changes and laws and regulations, and compliance with current and future customer privacy, data protection and cybersecurity laws and regulations could result in higher compliance, technical or operating costs. Any failure or perceived failure by us to comply with these laws and regulations, our privacy policies, our obligations to customers or other third parties, or any of our other actual or asserted obligations relating to privacy, data protection or cybersecurity may result in governmental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or cause our customers to lose trust in us, which could have an adverse effect on our reputation and brand and have a material and adverse effect on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Furthermore, the costs of compliance with, and other burdens imposed by, the laws, regulations and policies that are applicable to the businesses of our customers may limit the adoption and use of, and reduce the overall demand for, our services. Additionally, if third parties we work with, such as vendors or service providers, violate applicable laws or regulations or our policies, such violations may also put our customers’ information or other information maintained or otherwise processed in our business at risk and could in turn have an adverse effect on our business. Any significant change to applicable laws, regulations or industry practices regarding the collection, use, retention, security, disclosure or other processing of our customers’ information, or regarding the manner in which the express or implied consent of customers for the collection, use, retention, disclosure or other processing of such information is obtained, could increase our costs and require us to modify our products and services, possibly in a material manner, which we may be unable to complete, and may limit our ability to store and process customer information or other information or develop new products and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customers’ and end customers’ violation of our policies or other misuse of our platform to transmit unauthorized, offensive or illegal messages, spam, phishing scams and website links to harmful applications, record calls without consent or for other fraudulent or illegal activity could damage our reputation and brand, and we may face a risk of litigation and liability for illegal activities on our platform and unauthorized, inaccurate or fraudulent information distributed via our platform.</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customers and end customers may use our platform to make telephone calls and send short message services (“SMS”), text messages to our customers. In particular, the TCPA imposes significant restrictions on the use of telephone calls and text messages to residential and mobile telephone numbers as a means of communication when prior consent of the person being contacted has not been obtained. In addition, our customers may be required to comply with registration requirements to use SMS text messages, such as A2P 10DLC registration. Our customers’ use of our platform for marketing activities must comply with the above-mentioned laws and other requirements. Despite our ongoing and substantial efforts to limit such use, certain customers or end customers may use our platform to transmit unauthorized, offensive or illegal messages, calls, spam, phishing scams and website links to harmful applications, reproduce and distribute copyrighted material or the trademarks of others without permission, launder money, traffic drugs, fraudulently sell goods or services, use credit or debit cards in an unauthorized manner, record conversations without proper notice or consent, and report inaccurate or fraudulent data or information. While these actions are in violation of our policies, our efforts to defeat spamming attacks, illegal robocalls and other fraudulent activity will not prevent all such attacks and activity. Additionally, if the measures we have taken are too restrictive and inadvertently screen proper transactions, this could diminish our customer experience. Violations of the TCPA may be enforced by the FCC or by individuals through litigation, including through costly class actions, of which numerous suits under federal and state laws have been filed in recent years against companies who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telemarketing and/or SMS texting programs, resulting in multi-million dollar settlements to the plaintiffs. In addition to costly and time-consuming litigation, statutory penalties for TCPA violations range from $500 to $1,500 per violation, which has been interpreted to mean per phone call and/or text message sent and therefore the fines and settlement amounts can be very significant. Due to the evolving interpretation of the TCPA’s restrictions, and the highly litigated nature of the TCPA, our and our customers’ business and results of operations may be adversely affected by regulators, including the FCC, or the courts interpreting the TCPA restrictions differently than we do, by actual or perceived violations of the TCPA, as well as by lawsuits or other claims against us and our customers relating to violations of the TCPA. The outcome of such proceedings may not be favorable, and one or more unfavorable outcomes could have a material adverse impact on our financial condition. Additionally, any changes to the TCPA, its interpretation, or enforcement of it by the government or private parties that further restrict the way we or our customers’ contact and communicate with potential customers or generate leads could harm our business, financial condition and results of operations. Additionally, we also send marketing messages via email and are subject to the CAN-SPAM, which establishes specific requirements for commercial email messages and outlines penalties for the transmission of commercial email messages that are intended to deceive the recipient as to source or content, and obligates, among other things, the sender of commercial emails to provide recipients with the ability to opt out of receiving future commercial emails from the sender. As laws and regulations, including FTC and FCC enforcement thereof, rapidly evolve to govern the use of these communications and marketing platforms, the failure by us or our customers, or our employees or third parties acting at our direction, to abide by applicable laws and regulations could adversely impact our business, reputation and brand, financial condition and results of operations or subject us to fines or other penalties.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Such illegal use of our platform could damage our reputation and brand and we could face claims for damages, regulatory enforcement, copyright or trademark infringement, defamation, negligence or fraud. Moreover, our customers’ and end customers’ promotion of their products and services through our platform might not comply with federal, state and foreign laws. We rely on contractual representations made to us by our customers that their use of our platform will comply with our policies and applicable law. Although we retain the right to verify that customers and end customers are abiding by our policies, our customers and end customers are ultimately responsible for compliance with our policies, and we do not systematically audit our customers or end customers to confirm compliance with our policies. Although Section 230 of the Communications Decency Act currently limits liability for third-party content posted on internet platforms, we cannot predict whether that protection will remain in effect.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also may record phone calls or other conversations on behalf of our customers for coaching or other quality assurance purposes, and our customers may also record phone calls that are placed through our platform. The actual or perceived improper calling of customer phones or recording of customer calls or other conversations may subject us to potential risks, including claims, demands and litigation, regulatory demands, investigations and other proceedings, and fines, penalties, monetary and other settlements, and other liabilities relating to laws, regulations or other actual or asserted obligations, including consumer protection laws and regulations or certain laws and regulations that require consent, including the consent of all parties in certain states, for recording. Any future such litigation or other proceedings against us, regardless of whether or not they have merit, could be costly and time-consuming to defend and may distract management and technical personnel. Among other potential claims, federal or state regulatory authorities or private groups or individuals may claim that our notices, disclosures, form or manner of obtaining consent or our policies or practices relating to these matters are not adequate or violate applicable law or other actual or asserted obligations, such as industry standards. For example, there has been a rise in lawsuits alleging violations of wiretap laws, particularly in California. Successful lawsuits alleging violations of the California Invasion of Privacy Act can result in statutory penalties of $5,000 per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do not adequately protect our intellectual property and our data, our business, financial condition and results of operations could be materially adversely affected.</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rely on a combination of trademark, trade secret, copyright and patent law and contractual restrictions to protect our intellectual property. However, effective trademark, trade secret, copyright and patent protection is expensive to develop and maintain, both in terms of initial and ongoing applicable registration requirements and expenses and the costs of maintaining, defending and enforcing our registered intellectual property rights. We make business decisions about when to seek patent protection for a particular technology feature of ours and when to rely upon copyright or trade secret protection, and the approach we select may ultimately prove to be inadequate. Even when we seek patent protection, there is no assurance that the resulting patents will effectively protect every significant feature of our platform or other proprietary technology. Given the costs and expenses of obtaining, maintaining, protecting, exploiting, defending and enforcing our registered intellectual property rights, we may choose not to obtain, maintain, protect, exploit, defend or enforce certain intellectual property rights that later turn out to be important. Further, we may not timely or successfully apply for a patent or register our trademarks or otherwise secure our intellectual property. Our efforts to protect, maintain or enforce our proprietary rights may be ineffective and could result in substantial costs and diversion of resources, which could adversely affect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attempt to protect our intellectual property, proprietary technology and confidential information by requiring our employees and consultants who contribute to the development of intellectual property on our behalf to enter into confidentiality and invention assignment agreements, and our vendors, customers, business partners and other third parties we share information with to enter into nondisclosure agreements. These agreements may not effectively assign all intellectual property rights to us or prevent unauthorized use or disclosure of our confidential information, trade secrets, intellectual property or proprietary technology and may not provide an adequate remedy in the event of unauthorized use, misappropriation or disclosure of our confidential information, trade secrets or proprietary technology, or infringement or misappropriation of our intellectual property. Additionally, any such agreement with respect to the assignment of intellectual property rights may be breached, and we may be forced to bring claims against third parties, or defend claims that they may bring against us, to determine the ownership of what we regard as our intellectual property. Despite our efforts to protect our proprietary rights, unauthorized parties may copy aspects of our platform or other software, technology and functionality or obtain and use information that we consider proprietary. In addition, unauthorized parties may also attempt, or successfully endeavor, to obtain our proprietary technology, confidential information and trade secrets through various methods, including through cybersecurity attacks and reverse engineering, and legal or other methods of protecting this data may be inadequate.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We have in the past been, and may in the future be, subject to others infringing our intellectual property rights. Competitors have adopted, and may continue to adopt, service names similar to ours, thereby harming our ability to build brand identity and possibly leading to end-customer confusion. In addition, there could be potential trade name or trademark infringement claims brought by owners of other trademarks that are similar to our trademarks.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the U.S. Patent and Trademark Office or other governmental authorities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and administrative bodies in the United States and abroad may be necessary in the future to enforce our intellectual property rights and to determine the validity and scope of the proprietary rights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infringement or misappropriation assertions by third parties could result in significant costs and adversely affect our business, financial condition, results of operations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operate in an industry with frequent intellectual property litigation. Other parties have in the past asserted, and may assert in the future, that we have infringed or misappropriated their intellectual property rights. We could be required to pay substantial damages or cease using intellectual property or technology that is deemed infringing or misappropriating. In addition, despite our efforts to ensure that our employees, consultants, vendors and service providers do not use the intellectual property and other proprietary information or know-how of third parties in their work for us, we have in the past been, and may in the future be, subject to claims that we or our employees, consultants, vendors or service providers have inadvertently or otherwise used or disclosed intellectual property, including copyrighted materials, trade secrets, software code or other proprietary information of a former employer or other third parties.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we cannot predict whether assertions of third-party intellectual property rights or claims arising from such assertions would substantially adversely affect our business, financial condition and results of operations. The defense of these claims and any future infringement or misappropriation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might also be obligated to indemnify our customers or other companies in connection with any such litigation and to obtain licenses, modify our platform or refund fees, which could harm our financial results. Further, an adverse outcome of a dispute may require us to pay damages, potentially including treble damages and attorneys’ fees if we are found to have willfully infringed a party’s patent or copyright rights, cease making, licensing or using products that are alleged to incorporate or infringe the intellectual property of others, expend additional development resources to redesign our offerings, and enter into potentially unfavorable royalty or license agreements in order to obtain the right to use necessary technologies. Royalty or licensing agreements, if required, may be unavailable on terms favorable to us, or at all. In any event, we may need to license intellectual property from third parties which may require us to pay royalties or make one-time payments. Even if these matters do not result in litigation or are resolved in our favor or without significant cash settlements, the time and resources necessary to resolve them could adversely affect our business, reputation,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platform, including our purpose-built AI solutions such as Atlas, contains third-party open-source software components, and failure to comply with the terms of the underlying open-source software licenses could compromise the proprietary nature of our platform or could require disclosure of affected proprietary software source code.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platform, including our purpose-built AI solutions such as Atlas, contains software modules licensed to us by third-party authors under “open-source” licenses.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software. In addition, open-source projects may have security and other vulnerabilities and architectural instabilities or may be otherwise subject to security attacks due to their wide availability, and are provided on an “as-is” basis. Many of the risks associated with the use of open-source software, such as the lack of warranties or assurances of title or performance, cannot be eliminated, and could, if not properly addressed, negatively affect our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If we combine our proprietary software with open-source software in a certain manner, we could, under certain “copyleft” open-source licenses, be required to release the source code of our proprietary software under the terms of such an open-source software license, which could require us to offer our source code at little or no cost or grant other rights to our intellectual property. This could enable our competitors to create similar offerings with lower development effort, resources and time and ultimately could result in a loss of our competitive advantages. Alternatively, to avoid the release of the affected portions of our source code, we could be required to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 licenses, expend substantial time and resources to re-engineer some or all of our software or cease use or distribution of some or all of our software until we can adequately address the concerns.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Moreover, we cannot assure you that our processes for controlling our use of open-source software in our products will be effective. Although we have certain procedures in place to monitor our use of open-source software that are designed to ensure that none is used in a manner that would require us to disclose our proprietary source code or that would otherwise breach the terms of an open-source license, such use could inadvertently occur, or could be claimed to have occurred, in part because open-source license terms are often ambiguous. In addition, the terms of many open-source licenses have not been interpreted by U.S. or foreign courts, and there is a risk that these licenses could be construed in a way that could impose unanticipated conditions or restrictions on our ability to provide or distribute our platform. From time to time, there have been claims against companies that incorporate open-source software into their solutions, challenging such companies’ rights to use the open-source. As a result, we could be subject to lawsuits by parties claiming ownership of what we believe to be open-source software and alleging that we do not have the rights to use, incorporate, distribute, or modify such software. Additionally, if we are held to have breached or failed to fully comply with all the terms and conditions of an open-source software license, we could face infringement or other liability, or be required to seek costly licenses from third parties on terms that are not economically feasible to continue providing our platform,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Legal and Regulatory Environment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involved in claims, lawsuits, government investigations and other proceedings that may harm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From time to time, we have been, and may in the future become, involved in various investigations or legal proceedings relating to matters incidental to the ordinary course of our business, including intellectual property, commercial, product liability, employment, class action, whistleblower, wiretapping and other litigation and claims and governmental and other regulatory investigations and proceedings. For example, plaintiffs have sought to apply federal wiretap laws, such as the Federal Wiretap Act, and similar U.S. state laws, such as California’s Invasion of Privacy Act, to certain advertising online tracking, and voice recording practices. We have received one or more claims of violation of California’s Invasion of Privacy Act. None have resulted in significant liability or expense; however, similar claims may in the future. Such laws include private causes of action, and could result in significant monetary liability to address, including settlement costs, even if these causes of action are meritless. The number and significance of these potential claims and disputes may increase as our business expands.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may harm our financial condition and results of operations. Because of the potential risks, expenses and uncertainties of litigation, we may, from time to time, settle disputes, even where we have meritorious claims or defenses, by agreeing to settlement agreements. Any of the foregoing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is subject to extensive government regulation and oversight. Our failure to comply with extensive, complex, overlapping and frequently changing rules, regulations and legal interpretations could adversely affect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and data protection, cybersecurity, pricing, content, copyrights, distribution, mobile and telecommunications, advertising practices, electronic contracts, sales procedures, automatic subscription renewals, credit card processing procedures, consumer and business financial products, insurance products, consumer protection, the provision of online payment services, payroll compliance, the design and operation of websites and the characteristics and quality of products that are offered online. The application and interpretation of these laws and regulations may be uncertain or may change over time, and it may not be clear in every jurisdiction how existing laws and regulations governing such areas apply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business or will be enforced. If we fail, or are alleged to have failed, to comply with applicable laws and regulations, we could be subject to investigations, claims, regulatory proceedings, fines, penalties or reputational harm, which could materially and adversely affect our business, financial condition and results of operations.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contractor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Significant additional laws or regulations, or our failure to comply with any laws and regulations that now, or could in the future, apply to our business could materially adversely affect our business, financial condition, results of operations and prospects.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changes in regulations could negatively impact the business environment for the trades industry. Laws and regulations are rapidly evolving and may change significantly in the future. In particular, our customers are subject to a wide range of laws and regulations related to payroll, employment, data protection, privacy and marketing, and our business could be adversely affected should our solutions and platform not be able to keep pace with such regulatory changes.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expansion of our operations outside the United States, which subjects us to additional costs and risks,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While we currently operate primarily in the United States and Canada, a significant portion of our workforce comprises engineering service providers distributed internationally, including, but not limited to, persons in Armenia, Macedonia, and Poland, and our international contract workforce has grown as a result of our acquisitions. We have and may continue to expand our international operations, which may include opening offices in new jurisdictions and providing our platform in additional countries.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our access to this workforce is disrupted, our business may be adversely affected and we may not be able to grow effectively. Geopolitical events and local government and other actions, including armed conflicts, or sanctions imposed by the United States on countries in which members of our workforce reside, may reduce the availability of or disrupt communication with these workforces, or delay projects under development by the distributed teams. Our continued ability to grow and compete effectively depends on these workforces, so their limited availability or unavailability would impact our performance.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new markets or countries into which we attempt to sell subscriptions to access our platform may not be receptive to our efforts. For example, we may not be able to expand further in some markets if we are not able to adapt our platform to fit the needs of prospective customers in those markets or if we are unable to satisfy certain country- and industry-specific laws or regulations. In addition, future international expansion will also require considerable management attention and the investment of significant resources while subjecting us to new risks and increasing certain risks that we already face, including risks associated with:</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recruiting and retaining talented and capable employees outside the United States, including employees who speak multiple languages and come from a wide variety of different cultural backgrounds and customs;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maintaining our company culture across all of our global offices;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providing our platform in different languages;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with applicable international laws and regulations, including laws and regulations with respect to employment, construction, privacy, data protection, cybersecurity, consumer protection and unsolicited email, and the risk of penalties and fines against us and individual members of management or employees if our practices are deemed to be out of compliance;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managing an employee base in jurisdictions with differing employment regulations;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operating in jurisdictions that do not protect intellectual property rights to the same extent as the United States and navigating the practical enforcement of such intellectual property rights outside of the United States;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risk of changes in foreign laws that could restrict our ability to use our intellectual property outside of the foreign jurisdiction in which we developed it;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by us and our partners with anti-corruption laws, competition laws, import and export control laws, tariffs, trade barriers, economic sanctions and other regulatory limitations on our ability to provide our platform in certain international markets;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political and economic instability;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diplomatic and trade relationships, including the imposition of new trade restrictions, trade protection measures, import or export requirements, trade embargoes and other trade barriers;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generally longer payment cycles and greater difficulty in collecting accounts receivable;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foreign currency risk;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double taxation of our international earnings and potentially adverse tax consequences due to changes in the income and other tax laws of the United States or the international jurisdictions in which we operate;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higher costs of doing business internationally, including increased accounting, travel, infrastructure and legal compliance costs.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laws and regulations applicable to our global operations substantially increases our cost of doing business.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which could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governmental export and import controls and economic sanctions programs that could impair our ability to compete in international markets or subject us to liability if we violate these controls.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Certain of our products may be subject to various restrictions under U.S. and foreign export control and economic sanctions laws and regulations, including the U.S. Export Administration Regulations and economic and trade sanctions regulations administered by the Office of Foreign Assets Control (“OFAC”). The export of or provision of our platform must be made in compliance with these laws and regulations. Although we take precautions to prevent our products and technology from being provided in violation of such laws, our products and technology could in the future be provided inadvertently in violation of such laws, despite the precautions we take.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 consuming, is not guaranteed, and may result in the delay or loss of sales opportunities. In addition, changes in our platform, or changes in applicable export or economic sanctions regulations may create delays in the introduction and deployment of our platform in international markets, or, in some cases, prevent the export or provision of our platform to certain countries or end customers. A change in export or economic sanctions regulations, shift in the enforcement or scope of existing regulations or change in the countries, governments, persons or technologies targeted by such regulations, could also result in decreased use of our platform, or in our decreased ability to export or provide our platform to existing or prospective customers with international operations. Any decreased use of our platform or limitation on our ability to export or provide our platform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Compliance with applicable regulatory requirements regarding the export and provision of our platform, including with respect to new releases of our platform, may create delays in the introduction of our platform in international markets, prevent our customers with international operations from deploying and using our platform throughout their globally distributed systems or, in some cases, prevent the export or provision of our platform to some countries altogether.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Russian military action against Ukraine has adversely affected, and could continue to adversely affect, our operations and the productivity of our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a significant number of personnel, including both employees and contractors, in Armenia as well as Poland and other European countries, and we had engineering contractors in Russia prior to U.S. sanctions against Russia. In late February 2022, Russian military forces launched significant military action against Ukraine, which has and could continue to cause sustained conflict and disruption in nearby countries like Armenia, Macedonia, and Poland.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a result of the situation in Ukraine, new and stricter sanctions have been imposed by the United States, Canada, the United Kingdom, the European Union and other countries and organizations against officials, individuals, regions and industries in Russia. Soon after the Russian military action began, in response to U.S. sanctions, we restricted our Russian engineering contractors’ access to our software and arranged to move approximately 50 contractors out of Russia for the purpose of continuing to perform engineering services for us. Intensified military activities or the implementation of more extensive sanctions impacting the region could also adversely affect our operations and the productivity of our employees in Armenia, Macedonia, and Poland and other European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anti-corruption and anti-bribery laws and anti-money laundering laws and similar laws, and non-compliance with such laws can subject us to criminal penalties or significant fines and harm our business and reputation.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are subject to the Foreign Corrupt Practices Act (the “FCPA”), the U.S. domestic bribery statute contained in 18 U.S.C. § 201, the U.S. Travel Act, and other anti-corruption and anti-bribery laws, U.S. anti-money laundering laws, and similar laws in countries where we conduct activities. Anti-corruption and anti-bribery laws have been enforced aggressively in recent years and are interpreted broadly and prohibit companies, their employees, agents, representatives, business partners and third-party intermediaries from promising, authorizing, making, offering or providing, directly or indirectly, improper payments or benefits to recipients in the public or private sector, including anything of value to a “foreign official” for the purposes of influencing official decisions or obtaining or retaining business, or otherwise obtaining favorable treatment. Anti-money laundering laws generally prohibit persons from engaging in transactions where the proceeds at issue derive from, or are intended to facilitate or conceal, illegal activity, or where a party to the transaction is “willfully blind” to the illegal sources of the proceeds. If and when we increase our international sales and operations, our risks under these laws may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we use third parties to sell access to our platform and conduct business on our behalf abroad. We, our employees, agents, representatives, business partners and third-party intermediaries may have direct or indirect interactions with officials and employees of government agencies or state-owned or affiliated entities, and we can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laws also require that we keep accurate books and records and maintain internal controls and compliance procedures designed to prevent any such actions.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allegations or violations of the FCPA or other applicable anti-corruption laws, anti-money laundering laws or other laws could result in whistleblower complaints, sanctions, settlements, prosecution, enforcement actions, fines, damages, adverse media coverage, investigations, loss of export privileges, severe criminal or civil sanctions and suspension or debarment from government contracts. Responding to any investigation or action will likely result in a materially significant diversion of management attention and resources and significant defense costs and other professional fees. Any of the foregoing may harm our reputation, growth prospects, business, financial condition and results of operations.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Financial, Tax and Accounting Matters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internal control over financial reporting may not continue to be effective and we may experience material weaknesses in the future, which could affect the reliability of our financial statements and have other adverse consequences.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have previously identified material weaknesses in our internal control over financial reporting. As of January 31, 2024, we completed our remediation efforts, including the testing of the operating effectiveness of the controls, and we concluded that the material weaknesses have been remediated. As of January 31, 2026, we concluded our internal control over financial reporting was effective. However, we recognize that maintaining effective internal control over financial reporting will continue to require significant attention from management and expense, and we cannot guarantee that we will not identify material weaknesses in the future.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unable to generate sufficient cash flow to satisfy future debt service obligations, which could have an adverse effect on our business, financial condition, results of operations and 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As of January 31, 2026, we did not have any outstanding indebtedness. However, we may incur indebtedness in the future, including under our Amended Credit Agreement. Our ability to make payments on or to refinance future debt obligations, including under our Amended Credit Agreement,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or interest on any future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future debt service obligations. Our ability to restructure or refinance future debt will depend on the condition of the capital markets and our financial condition at such time. Any refinancing of debt could be 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higher interest rates and could require us to comply with more onerous covenants, which could further restrict our business operations. In addition, we cannot assure you that we will be able to refinance any future indebtedness on commercially reasonable terms, or at all.</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If we are unable to repay or otherwise refinance indebtedness when due, if we fail to comply with financial or other covenants in our debt service agreements, which include a net leverage covenant, or if any other event of default is not cured or waived, the applicable lenders could accelerate our outstanding obligations or foreclose against the collateral granted to them to secure that indebtedness, which could force us into bankruptcy or liquidation. In the event the applicable lenders accelerate the repayment of our borrowings, we and our subsidiaries may not have sufficient assets to repay that indebtedness. Any acceleration of amounts due under the Amended Credit Agreement or the exercise by the applicable lenders of their rights under the security documents could have an adverse effect on our business, financial condition and results of operations and could have a material adverse effect on the trading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Amended Credit Agreement contains financial covenants and other restrictions on our actions that may limit our operational flexibility or otherwise adversely affect our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terms of the Amended Credit Agreement include a number of covenants that limit our ability and our subsidiaries’ ability to, among other things, incur additional indebtedness, grant liens, merge or consolidate with other companies or sell substantially all of our assets, pay dividends, make redemptions and repurchases of stock, make investments, loans and acquisitions or engage in transactions with affiliates. The terms of the Amended Credit Agreement also include financial covenants, including a net leverage covenant. The terms of the Amended Credit Agreement may restrict our current and future operations and could adversely affect our ability to finance our future operations or capital needs. In addition, complying with these covenants may make it more difficult for us to successfully execute our business strategy, including potential acquisitions, and compete against companies which are not subject to such restrictions.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which may not be available on terms acceptable to us, or at all and, if available, may cause dilution to our stockholders.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intend to continue to make investments to support our business growth and may require additional funds to respond to business challenges, including the need to develop new products or enhance our existing platform, improve our operating infrastructure or acquire complementary businesses and technologies. We may require additional financing to meet our working capital and capital expenditure in the future. Accordingly, we may need to engage in equity or debt financings to secure additional funds. If we raise additional funds through future issuances of equity, equity-linked securities or convertible debt securities, our existing stockholders could suffer significant dilution, and any new securities we issue could have rights, preferences and privileges superior to those of holders of our Class A common stock. Debt financings increase expenses, may contain covenants that restrict the operation of our business, and must be repaid regardless of our results of operations. For example, covenants contained in our Amended Credit Agreement limit our ability to pay dividends, to create, incur or assume indebtedness or liens, to consummate certain strategic transactions, to engage in transactions with affiliates and to make certain investments.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evaluate financing opportunities from time to time, and our ability to obtain financing will depend, among other things, on our development efforts, business plans and operating performance and the condition of the capital markets at the time we seek financing.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 and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market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231F20"/>
          <w:sz w:val="20"/>
        </w:rPr>
        <w:t>circumstances, as described in the section titled “</w:t>
      </w:r>
      <w:r>
        <w:rPr>
          <w:rFonts w:ascii="Times New Roman" w:hAnsi="Times New Roman"/>
          <w:i/>
          <w:color w:val="231F20"/>
          <w:sz w:val="20"/>
        </w:rPr>
        <w:t>Management’s Discussion and Analysis of Financial Condition and Results of Operations</w:t>
      </w:r>
      <w:r>
        <w:rPr>
          <w:rFonts w:ascii="Times New Roman" w:hAnsi="Times New Roman"/>
          <w:color w:val="231F20"/>
          <w:sz w:val="20"/>
        </w:rPr>
        <w:t>.”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revenue recognition, and fair value of assets acquired and liabilities assumed in a business combination.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market price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assumptions and estimates to calculate certain of our key metrics, and real or perceived inaccuracies in such metrics may harm our reputation and our business.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track certain operational metrics, including the number of Active Customers, which we define as customers with over $10,000 of annualized billings,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We may also discover unexpected errors in the data that we are using that resulted from technical or other errors. If the internal systems and tools we use to track these metrics undercount or overcount performance or contain algorithmic or other technical errors, the data we report may not be accurate. If we determine that any of our metrics or figures are not accurate, we may be required to revise or cease reporting such metrics or figures. While these numbers are based on what we believe to be reasonable estimates of our metrics for the applicable period of measurement, there are inherent challenges in measuring these metrics. Limitations or errors with respect to how we measure data or with respect to the data that we measure may affect our understanding of certain details of our business, which could affect our long-term strategies. In addition, our methodology for calculating these metrics may differ from the methodology used by other companies to calculate similar metrics and figures. If our operating metrics are not accurate representations of our business, if investors do not perceive our operating metrics to be accurate or if we discover material inaccuracies with respect to these figures, we expect that our business, financial condition and results of operations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as a public company requires us to incur substantial costs and will require substantial management attention.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a public company, we incur substantial legal, accounting and other expenses that we did not incur as a private company. For example, we are subject to the reporting requirements of the Exchange Act, the applicable requirements of the Sarbanes-Oxley Act of 2002, as amended (the “Sarbanes-Oxley Act”), the Dodd-Frank Wall Street Reform and Consumer Protection Act, the rules and regulations of the SEC and the listing standards of The Nasdaq Stock Market LLC (the “Exchange”). The Exchange Act requires, among other things, that we file annual, quarterly and current reports with respect to our business, financial condition and results of operations. Compliance with these rules and regulations has and is expected to continue to increase our legal and financial compliance costs, and increase demand on our systems, particularly since we are no longer an Emerging Growth Company (“EGC”) and are now a large accelerated filer.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this Annual Report and in filings required of a public company, our business, financial condition and results of operations are more visible, which may result in threatened or actual litigation, including by competitors.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members of our management team have limited experience managing a publicly traded company, and certain members joined us more recently. As such, our management team may not successfully or efficiently manage our status as a public company subject to significant regulatory oversight and reporting obligations under the federal securities laws and the continuous scrutiny of securities analysts and investors. These public company obligations and constituents require significant attention from our senior management and could divert their attention away from the day-to-day management of our business, which may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ability to utilize our federal net operating loss carryforwards (“NOLs”) may be limited under Sections 382 and 383 of the Internal Revenue Code of 1986, as amended. These limitations apply if we experience an “ownership change,” which is generally defined as a greater than 50 percentage point change (by value) in the ownership of our equity by certain stockholders over a rolling three-year period.</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conducted a formal study through January 31, 2026 that concluded that there had been prior ownership changes and that our utilization of pre-change tax attribute carryforwards will be subject to annual limitations. However, it is not expected that the annual limitations will result in the expiration of tax attribute carryforwards prior to utilization.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 tax attribute carryforwards. Future changes in our stock ownership, some of which may be outside of our control, may result in an ownership change under these rules.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There is a risk that due to changes in tax law, regulatory changes or other unforeseen reasons, our existing NOLs and other tax attributes could expire or otherwise become unavailable to offset future income tax liabilities. At the state level, there may also be periods during which the use of NOLs and other tax attributes is suspended or otherwise limited, which could accelerate or permanently increase state taxes owed by us. For these reasons, we may not be able to realize a tax benefit from the use of our NOLs and other tax attributes, even if we attain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harmed if we are required to collect or pay sales or other taxes in jurisdictions where we have not historically done so.</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States and some local taxing jurisdictions have differing rules and regulations governing sales, use and other taxes, such as gross receipts taxes, excise taxes, and telecom taxes, and these rules and regulations are subject to varying interpretations that may change over time. The application of federal, state, local and non-U.S. tax laws to services provided electronically is evolving. In particular, the applicability of sales taxes and other taxes to our platform in various jurisdictions is unclear. We collect and remit sales tax and other taxes in the United States and value-added tax, in a number of international jurisdictions. However, we could face tax audits in which tax authorities in the United States and other jurisdictions could successfully assert that we are obligated to collect additional tax amounts from our paying customers and remit those amounts to those authorities. As a result, our liability for these taxes could exceed our estimates. We could also be subject to audits in states and Non-U.S. jurisdictions for which we have not accrued tax liabilities. A successful assertion that we should be collecting additional sales or other taxes on our platform in jurisdictions where we have not historically done so and do not accrue for such taxes could result in substantial tax liabilities for past sales, discourage organizations from subscribing to our platform, and otherwise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Further, one or more state, local or non-U.S. tax authorities could seek to impose additional sales, use, telecommunications or other taxes and other tax collection and record-keeping obligations on us or may determine that such taxes should have, but have not been, paid by us. Liability for past taxes may also include substantial interest and penalty charges. Any successful action by state, local or non-U.S. tax authorities to compel us to collect and remit sales tax, use tax, telecommunication tax or other taxes, either retroactively, prospectively, or both,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and regulations in the United States and other jurisdictions could adversely affect our business, financial condition and results of operations.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New income, sales, use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For example, U.S. H.R. 1 (119th Congress), signed into law in July 2025, commonly known as the One Big Beautiful Bill Act, made significant changes to U.S. federal tax law. Changes to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laws (which in some cases may have retroactive applications), including with respect to NOLs and other tax attributes, could adversely affect us, holders of our common stock, or our customers. If we raise our prices to offset the costs of these changes, existing and prospective customers may elect not to purchase our offerings in the future. Additionally, new, changed, modified or newly interpreted or applied tax laws could increase our customers’ and our own compliance, operating and other costs, as well as the costs of our offerings. Further, these events could decrease the capital we have available to operate our business. Any or all of these events may harm our business, financial condition and results of operations.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we expand the scale of our international business activities, any changes in the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tax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results of operations may be adversely affected by changes in accounting principles applicable to us.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GAAP is subject to interpretation by the Financial Accounting Standards Board, the SEC and other various bodies formed to promulgate and interpret appropriate accounting principles. Changes in accounting principles applicable to us, or varying interpretations of current accounting principles, could have a significant effect on our reported results of operations. Further, any difficulties in the implementation of changes in accounting principles, including the ability to modify our accounting systems, could cause us to fail to meet our financial reporting obligations, which could result in regulatory discipline and harm investors’ confidence in us.</w:t>
      </w:r>
    </w:p>
    <w:p>
      <w:pPr>
        <w:pStyle w:val="TextBody"/>
        <w:bidi w:val="0"/>
        <w:spacing w:before="240" w:after="283"/>
        <w:jc w:val="center"/>
        <w:rPr>
          <w:rFonts w:ascii="Times New Roman" w:hAnsi="Times New Roman"/>
          <w:b/>
          <w:color w:val="231F20"/>
          <w:sz w:val="20"/>
        </w:rPr>
      </w:pPr>
      <w:r>
        <w:rPr>
          <w:rFonts w:ascii="Times New Roman" w:hAnsi="Times New Roman"/>
          <w:b/>
          <w:color w:val="231F20"/>
          <w:sz w:val="20"/>
        </w:rPr>
        <w:t>Risks Related to Ownership of Our Class A Common Stock and Governance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multi-class structure of our common stock has the effect of concentrating voting power with Ara Mahdessian, our Co-Founder, Chief Executive Officer and a member of our board of directors, and Vahe Kuzoyan, our Co-Founder, President and a member of our board of directors, which will limit your ability to influence the outcome of matters submitted to our stockholders for approval,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Class A common stock has one vote per share, our Class B common stock has 10 votes per share and our Class C common stock has no votes per share, except as otherwise required by law. Our Co-Founders and their respective affiliates together hold all of the issued and outstanding shares of our Class B common stock. Accordingly, as of January 31, 2026, the shares held by our Co-Founders (including shares over which they have voting or administrative control) represented approximately 61% of the voting power of our outstanding capital stock, which voting power may increase over time as our Co-Founders exercise or vest in equity awards over time. If all such equity awards held by our Co-Founders (including the shares of our Class B common stock subject to performance-based RSUs that were granted to our Co-Founders in October 2024 and that vest upon the satisfaction of a service condition and achievement of certain stock price hurdles) had been exercised or vested and settled in shares of our Class B common stock as of January 31, 2026, the shares held by our Co-Founders (including shares over which they have voting or administrative control) represented approximately 72% of the voting power of our outstanding capital stock. As a result, our Co-Founders, along with our other principal stockholders, will be able to significantly influence or control any action requiring the approval of our stockholders, including the election of our board of directors, the adoption of amendments to our amended and restated certificate of incorporation and amended and restated bylaws and the approval of any merger, consolidation, sale of all or substantially all of our assets or other major corporate transaction. Our Co-Founders may have interests that differ from yours and may vote in a way with which you disagree and which may be adverse to your interests. This concentrated control or significant influence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Co-Founders and our other stockholders, which may result in our Co- Founders undertaking, or causing us to undertake, actions that would be desirable for our Co-Founders but would not be desirable for our other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Future transfers by the holders of Class B common stock will generally result in those shares automatically converting into shares of Class A common stock, subject to limited exceptions, such as certain transfers effected for estate planning. In addition, each share of Class B common stock will convert automatically into one share of Class A common stock upon certain events specified in our amended and restated certificate of incorporation. If the employment of one of our Co-Founders is terminated by us for reasons other than cause or death, the shares of Class B common stock held by such Co-Founder (and his affiliates) will not automatically convert into shares of Class A common stock upon such a termination. Under these circumstances, one of our Co-Founders could no longer be employed by us but continue to hold shares of Class B common stock that represent significant voting power of our capital stock and could undertake actions that would be desirable for such Co-Founder but would not be desirable for other stockholders. </w:t>
      </w:r>
    </w:p>
    <w:p>
      <w:pPr>
        <w:pStyle w:val="TextBody"/>
        <w:bidi w:val="0"/>
        <w:spacing w:before="240" w:after="283"/>
        <w:jc w:val="both"/>
        <w:rPr>
          <w:rFonts w:ascii="Times New Roman" w:hAnsi="Times New Roman"/>
          <w:sz w:val="20"/>
        </w:rPr>
      </w:pPr>
      <w:r>
        <w:rPr>
          <w:rFonts w:ascii="Times New Roman" w:hAnsi="Times New Roman"/>
          <w:color w:val="231F20"/>
          <w:sz w:val="20"/>
        </w:rPr>
        <w:t>We have no shares of our Class C common stock, which entitle the holder to no votes per share (except as otherwise required by law), issued and outstanding, and we have no current plans to issue shares of Class C common stock. These shares are available to be used in the future for various uses including to further strategic initiatives, such as financings or acquisitions, or issue future equity awards to our service providers. Over time, the issuance of shares of Class A common stock will result in voting dilution to all of our stockholders and this dilution could eventually result in our Co-Founders holding less than a majority of our total outstanding voting power. Once our Co-Founders own less than a majority of our total outstanding voting power, our Co- Founders will no longer have the unilateral ability to elect all of our directors and to significantly influence or control the outcome of any matter submitted for a vote of our stockholders. Because the shares of Class C common stock have no voting rights (except as required by law), the issuance of such shares will not result in further voting dilution, which will prolong the voting power of our Co-Founders. As a result, the issuance of shares of Class C common stock could prolong the duration of our Co-Founders’ control of our voting power and their ability to elect all of our directors and to significantly influence or control the outcome of most matters submitted to a vote of our stockholders. In addition, we could issue shares of Class C common stock to our Co-Founders and, in that event, they would be able to sell such shares of Class C common stock and achieve liquidity in their holdings without diminishing their voting power. Any future issuances of shares of Class C common stock will not be subject to approval by our stockholders except as required by the listing standards of the Exchange. For additional information about our multi-class structure, refer to the “</w:t>
      </w:r>
      <w:r>
        <w:rPr>
          <w:rFonts w:ascii="Times New Roman" w:hAnsi="Times New Roman"/>
          <w:i/>
          <w:color w:val="231F20"/>
          <w:sz w:val="20"/>
        </w:rPr>
        <w:t>Description of Securities Registered Pursuant to Section 12 of the Securities Exchange Act of 1934,</w:t>
      </w:r>
      <w:r>
        <w:rPr>
          <w:rFonts w:ascii="Times New Roman" w:hAnsi="Times New Roman"/>
          <w:color w:val="231F20"/>
          <w:sz w:val="20"/>
        </w:rPr>
        <w:t>” filed as Exhibit 4.1 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cannot predict the effect our multi-class structure may have on the market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cannot predict whether our multi-class structure will result in a lower or more volatile market price of our Class A common stock, adverse publicity or other adverse consequences. For example, certain stock index providers have excluded or limited the eligibility of public companies with multiple classes of shares of common stock from being added to certain stock indices. The multi-class structure of our common stock would therefore make us ineligible for inclusion in indices with such restrictions and, as a result, mutual funds, exchange-traded funds, and other investment vehicles that attempt to passively track these indices may not invest in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several stockholder advisory firms and large institutional investors have been critical of the use of multi-class structures. Such stockholder advisory firms may publish negative commentary about our corporate governance practices or capital structure, which may dissuade large institutional investors from purchasing shares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actions could make our Class A common stock less attractive to other investors. As a result, the market price of our Class A common stock could be adversely affected.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trading price of our Class A common stock may be volatile.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was no public market for our Class A common stock prior to our IPO, and an active trading market for our Class A common stock may not sustain its current levels. In addition, the trading price of our Class A common stock may fluctuate significantly in response to a number of factors, most of which we cannot predict or control, including: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price and volume fluctuations in the overall stock market or of technology stocks from time to time;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volatility in the market due to macroeconomic developments, including but not limited to, the occurrence of pandemics, rising interest rates, other trade protection measures and increased inflation;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operating performance and stock market valuations of other technology companies generally, or those in our industry in particular;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shares of our Class A common stock by us or our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financial projections we may provide to the public, any changes in those projections or our failure to meet those projections;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announcements by us or our competitors of new offerings or products;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public’s reaction to our press releases, other public announcements and filings with the SEC;</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rumors and market speculation involving us or other companies in our industry;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short selling of our Class A common stock or related derivative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changes in our results of operations or fluctuations in our results of operations, including due to the seasonality of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perceived cybersecurity breaches or incidents;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actual or anticipated developments in our business, our competitors’ businesses or the competitive landscape generally;</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announced or completed acquisitions of businesses, products or technologies by us or our competitors;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developments or disputes concerning our intellectual property or other proprietary rights;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litigation involving us, our industry, or both, or investigations by regulators into our operations or those of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new laws, regulations, rules or industry standards or new interpretations of existing laws, regulations, rules or industry standards applicable to our business;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impact of political instability, natural disasters, war and/or events of terrorism, such as the conflict in the Middle East and between Russia and Ukraine and the corresponding tensions created from such conflict between Russia, the United States and countries in Europe and the Middle East, as well as other countries such as China;</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changes in accounting standards, policies, guidelines, interpretations or principles;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any significant change in our management or board of directors;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sales of our Class A common stock by us, our founders, officers, directors and employees.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if the market for technology stocks or the stock market in general experiences a loss of investor confidence, the trading price of our Class A common stock could decline for reasons unrelated to our business, financial condition or results of operations. The trading price of our Class A common stock might also decline in reaction to events that affect other companies in our industry even if these events do not directly affect us. In the past, following periods of volatility in the overall market and the trading price of a particular company’s securities, securities class action litigation has often been instituted against these companies. This litigation, if instituted against us, would result in substantial costs and a diversion of our management’s attention and resources.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Recently, the stock markets in general, and the markets for technology stocks in particular, have experienced extreme volatility. The stock prices of many technology companies have declined significantly and in certain instances the declines have been unrelated or disproportionate to the operating performance of those companies. Software company stock prices have experienced significant declines, driven in part by investor concerns that advances in AI, including agentic AI and AI-enabled automation tools, may disrupt traditional software business models and pricing structures. Furthermore, the trading price of our Class A common stock may be adversely affected by third parties trying to drive down the trading price of our Class A common stock. Short sellers and others, some of whom post anonymously on social media, can negatively affect the trading price of our Class A common stock and may be positioned to profit if the trading price of our Class A common stock declines. These broad market and industry factors may seriously harm the trading price of our Class A common stock, regardless of our operating performance.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Sales of a substantial number of shares of our Class A common stock (including shares of our Class A common stock issuable upon conversion of our Class B common stock) could depress the trading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price of our Class A common stock could decline as a result of sales of a large number of shares of our Class A common stock in the public market, particularly sales by our directors, officers, and principal stockholders, and the perception that these sales could occur may also depress the trading price of our Class A common stock. As of January 31, 2026, we had 81,956,537 shares of our Class A common stock, 12,644,614 shares of our Class B common stock and no shares of our Class C common stock outstanding. While shares held by directors, executive officers, and other affiliates are subject to volume limitations under Rule 144 under the Securities Act, we are unable to predict the timing of or the effect that such sales may have on the prevailing trading price of our Class A common stock.</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Certain holders of our Class A common stock (including shares of our Class A common stock issuable upon conversion of our Class B common stock and/or the exercise or settlement, as applicable, of outstanding equity awards) are entitled, under the provisions of our amended and restated investors’ rights agreement, dated as of July 27, 2023, to require us to register shares owned by them for public sale in the United States. Any registration statement we file to register shares, whether as a result of registration rights or otherwise, could cause the trading price of our Class A common stock to decline or be volatile. In addition, we have filed registration statements on Form S-8 under the Securities Act to register shares reserved for future issuance under our equity compensation plans and, subject to the satisfaction of applicable exercise periods, the shares issued upon exercise of outstanding stock options will be available for immediate resale in the United States in the public market, subject in some cases to the volume and other restrictions of Rule 144.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Sales of our Class A common stock as restrictions end or pursuant to registration rights may make it more difficult for us to sell equity securities in the future at a time and price that we deem appropriate. These sales also could cause the trading price of our Class A common stock to fall and make it more difficult for you to sell shares of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Delaware law and provisions in our amended and restated certificate of incorporation and amended and restated bylaws could make a merger, tender offer or proxy contest difficult, thereby depressing the trading price of our Class A common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status as a Delaware corporation and the anti-takeover provisions of the General Corporation Law of the State of Delaware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in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bylaws provide that approval of the holders of at least two-thirds of the voting power of the outstanding shares of our capital stock voting as a single class is required for stockholders to amend or adopt any provision of our bylaws;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multi-class structure, which provides our Co-Founders with the ability to significantly influence or control the outcome of matters requiring stockholder approval, even if they own significantly less than a majority of the shares of our outstanding Class A common stock, Class B common stock and Class C common stock;</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does not provide for cumulative voting;</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vacancies on our board of directors will be filled only by appointment by our board of directors and not by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board of directors is classified into three classes of directors with staggered three-year terms and directors are only able to be removed from office for cause;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 special meeting of our stockholders may only be called by the chairperson of our board of directors, our Chief Executive Officer, our President or a majority of our board of directors;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certain litigation against us can only be brought in Delaware;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our amended and restated certificate of incorporation authorizes undesignated preferred stock, the terms of which may be established and shares of which may be issued without further action by our stockholders;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advance notice procedures apply for stockholders to nominate candidates for election as directors or to bring matters before an annual meeting of stockholders.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officers or other employees to us or our stockholders, (iii) any action arising pursuant to any provision of the DGCL,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the federal district courts of the United States are the exclusive forum for resolving any complaints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Securities Act or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may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no longer an “emerging growth company” and, as a result, are subject to certain enhanced disclosure requirements.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As of January 31, 2026, we are no longer an EGC. Moreover, we are a large accelerated filer. As a large accelerated filer, we are subject to certain disclosure and compliance requirements that apply to other public companies but that did not previously apply to us due to our status as an EGC. These requirements include, but are not limited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requirement that our independent registered public accounting firm attest to the effectiveness of our internal control over financial reporting under Section 404(b) of the Sarbanes-Oxley Act;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compliance with any requirement that may be adopted by the Public Company Accounting Oversight Board regarding mandatory audit firm rotation or a supplement to the auditor’s report providing additional information about the audit and the financial statements; and</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requirement that we provide more detailed disclosures regarding executive compensation.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We expect that the loss of EGC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us, our business or our market, or if they change their recommendations regarding our Class A common stock adversely, the trading price and trading volume of our Class A common stock could decline.</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trading market for our Class A common stock depends, in part, on the research and reports that securities or industry analysts publish about us, our business, our market or our competitors. The analysts’ estimates are based upon their own opinions and are often different from our estimates or expectations. Analysts may misinterpret our business and focus on certain standard SaaS metrics, like calculated billings and remaining performance obligations, that are not as applicable to us as other peer companies. If any of the analysts who cover us change their recommendation regarding our Class A common stock adversely, provide more favorable relative recommendations about our competitors, or publish inaccurate or unfavorable research about our business, the trading price of our Class A common stock would likely decline. If few securities analysts commence coverage of us, or if one or more of these analysts cease coverage of us or fail to publish reports on us regularly, we could lose visibility in the financial markets and demand for our securities could decrease, which could cause the trading price and volume of our Class A common stock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intend to pay cash dividends for the foreseeable future on our capital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never declared or paid any cash dividends on our common stock and do not intend to pay any cash dividends in the foreseeable future on our capital stock.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capital stock after price appreciation, which may never occur, as the only way to realize any future gains on their investments.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 entity affiliated with Vahe Kuzoyan, our Co-Founder and President has pledged shares of our Class B common stock to secure certain borrowings. The forced sale of these shares pursuant to a margin call would cause these shares of Class B common stock to convert into shares of Class A common stock and could cause our stock price to decline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Vahe Kuzoyan, our Co-Founder, President and a member of our board of directors and his spouse, individually and as trustees of the K-A Family Trust dated December 6, 2021 (the “Trust”), entered into a loan agreement and security and pledge agreement, as amended in July 2025. The loan is secured by pledges of a portion of our Class B common stock currently owned by the Trust. Mr. Kuzoyan exercises voting control over the pledged shares of Class B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price of our Class A common stock were to decline substantially, Mr. Kuzoyan, his spouse and the Trust may be forced to provide additional collateral for the loan or to sell shares of our Class A common stock (after converting shares of Class B common stock) in order to remain within the margin limitations imposed under the terms of the loan. The loan agreement prohibits the non-pledged shares currently owned by Mr. Kuzoyan, his spouse and the Trust, as well as equity interests in our Company held by Mr. Kuzoyan, from being pledged to secure any other loans or from being sold, transferred or assigned. These factors may limit Mr. Kuzoyan’s and the Trust’s ability to either pledge additional shares of our Class B common stock or sell shares of our Class A common stock (after converting shares of Class B common stock) as a means to avoid or satisfy a margin call with respect to the pledged shares of our Class B common stock in the event of a decline in our stock price that is so substantial as to trigger a margin call. Any sales of Class A common stock following a margin call that is not satisfied may cause the price of our Class A common stock to decline further. </w:t>
      </w:r>
    </w:p>
    <w:p>
      <w:pPr>
        <w:pStyle w:val="TextBody"/>
        <w:bidi w:val="0"/>
        <w:spacing w:before="360" w:after="283"/>
        <w:jc w:val="both"/>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7" w:name="item_1c_cybersecurity"/>
      <w:bookmarkEnd w:id="7"/>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design and assess our program based on International Organization for Standardization (“ISO”) 27001 and Payment Card Industry Data Security Standard (“PCI DSS”) standards. This does not imply that we meet any particular technical standards, specifications, or requirements, only that we use ISO and PCI DSS as a guide to help us identify, assess, and manage cybersecurity risks relevant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 assessments designed to help identify material risks from cybersecurity threats to our critical systems and information;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internal audits;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bug bounties, phishing and penetration tests;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security team principally responsible for managing (1) our cybersecurity risk assessment processes, (2) our security controls, and (3) our response to cybersecurity incidents;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 of external service providers, where appropriate, to assess, test or otherwise assist with aspects of our security processes;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awareness training of our employees, including incident response personnel and senior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cybersecurity incident response plan that includes procedures for responding to cybersecurity incidents, as well as dedicated and expert incident commander(s) to steer incident response and resolution;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third-party risk management process for key service providers based on our assessment of their criticality to our operations and respective risk profile.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the section titled “</w:t>
      </w:r>
      <w:r>
        <w:rPr>
          <w:rFonts w:ascii="Times New Roman" w:hAnsi="Times New Roman"/>
          <w:i/>
          <w:color w:val="000000"/>
          <w:sz w:val="20"/>
        </w:rPr>
        <w:t>Risk Factors—Risks Related to Data Privacy, Data Protection, Cybersecurity and Technology—The collection, processing, storage, use and disclosure of personal information are governed by a rapidly evolving framework of privacy, data protection, cybersecurity information transfers or other laws or regulations worldwide and may limit the use and adoption of our services and adversely affect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Cybersecurity Governance</w:t>
      </w:r>
      <w:r>
        <w:rPr>
          <w:rFonts w:ascii="Times New Roman" w:hAnsi="Times New Roman"/>
          <w:color w:val="000000"/>
          <w:sz w:val="20"/>
        </w:rPr>
        <w:t xml:space="preserve"> </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 xml:space="preserve">Our Board considers cybersecurity risk as part of its risk oversight function and has delegated to the Audit Committee (the “Committee”) oversight of cybersecurity risks, including oversight of management’s implementation of our cybersecurity risk management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Committee receives periodic reports from management on our cybersecurity risks. In addition, management updates the Committee, where it deems appropriate, regarding cybersecurity incidents it considers to be significant.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Committee regularly reports to the full Board regarding its activities, including those related to cybersecurity and our cyber risk management program. Board members also receive presentations on cybersecurity topics from our Chief Information Security Officer (“CISO”), internal security staff or external experts as part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Board’s continuing education on topics that impact public companies. Our management receives briefings from our CISO on our cyber risk management program and escalates matters to the Board as needed.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CISO is primarily responsible for assessing and managing our material risks from cybersecurity threats. The CISO, who reports to our Chief Technology Officer, has primary responsibility for our overall cybersecurity risk management program and supervises both our internal cybersecurity personnel and our retained external cybersecurity consultants. Our CISO is an industry-recognized and credentialed executive who has served in various roles in information technology and information security for over two decades, including as Chief Information Security Officer. He holds an undergraduate degree in information systems and multiple professional certifications.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CISO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w:t>
      </w:r>
    </w:p>
    <w:p>
      <w:pPr>
        <w:pStyle w:val="TextBody"/>
        <w:bidi w:val="0"/>
        <w:spacing w:before="360" w:after="283"/>
        <w:jc w:val="both"/>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corporate headquarters are located in Glendale, California, where we lease an aggregate of approximately 215,000 square feet, as of January 31, 2026, pursuant to lease agreements that expire in July 2030. We also lease additional facilities in various locations in the United States and around the world. We lease all of our facilities and do not own any real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facilities are suitable to meet our current needs, and that suitable additional or alternative space will be available as needed to accommodate any growth to support new employees or new geographic markets.</w:t>
      </w:r>
    </w:p>
    <w:p>
      <w:pPr>
        <w:pStyle w:val="TextBody"/>
        <w:bidi w:val="0"/>
        <w:spacing w:before="360" w:after="283"/>
        <w:jc w:val="both"/>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involved in various legal proceedings arising from the normal course of business activities. We are not presently a party to any litigation the outcome of which, we believe, if determined adversely to us, would individually or taken together, materially and adversely affect our business, results of operations or financial condition. Future litigation may be necessary to defend ourselves, our partners and our customers by determining the scope, enforceability and validity of third-party proprietary rights, to establish our proprietary rights or for other matters. Involvement in such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 In addition, the information set forth under “Litigation” in Note 8 of the Notes to Consolidated Financial Statements included in this Annual Report on Form 10-K is incorporated herein by reference.</w:t>
      </w:r>
    </w:p>
    <w:p>
      <w:pPr>
        <w:pStyle w:val="TextBody"/>
        <w:bidi w:val="0"/>
        <w:spacing w:before="360" w:after="283"/>
        <w:jc w:val="left"/>
        <w:rPr>
          <w:rFonts w:ascii="Times New Roman" w:hAnsi="Times New Roman"/>
          <w:b/>
          <w:color w:val="000000"/>
          <w:sz w:val="20"/>
        </w:rPr>
      </w:pPr>
      <w:bookmarkStart w:id="10" w:name="item_4_mine_safety_disclosures"/>
      <w:bookmarkEnd w:id="10"/>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both"/>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A common stock is listed on the Nasdaq Global Select Market under the symbol “TTAN.” Our Class B common stock and Class C common stock is neither listed nor publicly traded.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16, 2026, there were 54 holders of record of our Class A common stock. The actual number of stockholders is greater than this number of record holders and includes an indeterminate number of stockholders who are beneficial owners but whose shares are held in street name by brokers and other nominees.</w:t>
        <w:br/>
        <w:t>As of March 16, 2026, there were 16 holders of record of our Class B common stock and no shares of our Class C common stock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terms of our Amended Credit Agreement place certain limitations on the amount of cash dividends we can pay, even if no amounts are currently outstanding. We have never declared or paid cash dividends on our capital stock. We currently intend to retain all available funds and future earnings and do not anticipate declaring or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Plan-Related Issuances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February 1, 2024 to December 12, 2024 (the date of the filing of our registration statement on Form S-8), we issued and sold to our directors, officers, employees, consultants and other service providers an aggregate of 511,755 shares of our common stock upon the exercise of stock options under our 2015 Stock Plan, at exercise prices ranging from $0.19 to $63.55 per share, for an aggregate purchase price of $5.8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February 1, 2024 to December 12, 2024 (the date of the filing of our registration statement on Form S-8), we granted to our directors, officers, employees, consultants and other service providers an aggregate of 3,527,375 restricted stock units (“RSUs”) to be settled in shares of our Class A of our common stock and an aggregate of 6,483,088 RSUs to be settled in shares of our Class B common stock, in each case pursuant to our 2015 Stock Plan.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Shares Issued in Connection with 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2024, we issued an aggregate of 373,118 shares of our common stock as consideration to accredited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None of the foregoing transactions involved any underwriters, underwriting discounts or commissions, or any public offering. The offers, sales, and issuances of the securities described above were deemed to be exempt from registration under Rule 701 promulgated under the Securities Act, as transactions under compensatory benefits plans and contracts relating to compensation, or under Section 4(a)(2) of the Securities Act as a transaction by an issuer not involving a public offering. The recipients of the securities in each of these transactions represented their intentions to acquire the securities for investment only and not with a view to or for sale in connection with any distribution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December 11, 2024, our registration statement on Form S-1 (File No. 333-283296), as amended, was declared effective by the Securities and Exchange Commission (the “SEC”) in connection with our initial public offering (“IPO”). We received aggregate proceeds of $674.1 million, net of underwriting costs and offering expenses. There has been no material change in the expected use of the net proceeds from our IPO as described in our Prospectus, filed with the SEC on December 12, 2024.</w:t>
      </w:r>
    </w:p>
    <w:p>
      <w:pPr>
        <w:pStyle w:val="TextBody"/>
        <w:bidi w:val="0"/>
        <w:spacing w:before="240" w:after="283"/>
        <w:jc w:val="both"/>
        <w:rPr>
          <w:rFonts w:ascii="Times New Roman" w:hAnsi="Times New Roman"/>
          <w:sz w:val="20"/>
        </w:rPr>
      </w:pPr>
      <w:r>
        <w:rPr>
          <w:rFonts w:ascii="Times New Roman" w:hAnsi="Times New Roman"/>
          <w:b/>
          <w:color w:val="000000"/>
          <w:sz w:val="20"/>
        </w:rPr>
        <w:t>Stock</w:t>
      </w:r>
      <w:r>
        <w:rPr>
          <w:rFonts w:ascii="Times New Roman" w:hAnsi="Times New Roman"/>
          <w:color w:val="000000"/>
          <w:sz w:val="20"/>
        </w:rPr>
        <w:t xml:space="preserve"> </w:t>
      </w:r>
      <w:r>
        <w:rPr>
          <w:rFonts w:ascii="Times New Roman" w:hAnsi="Times New Roman"/>
          <w:b/>
          <w:color w:val="000000"/>
          <w:sz w:val="20"/>
        </w:rPr>
        <w:t>Performance Graph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graph compares the cumulative total return to stockholders on our Class A common stock with the cumulative total returns of the Standard &amp; Poor’s 500 Index (the “S&amp;P 500”), and the S&amp;P 500 Information Technology Sector Index. An investment of $100 is assumed to have been made in our Class A common stock and in each index on December 12, 2024, the date our Class A common stock began trading on the Nasdaq Global Select Market, and its relative performance is tracked through January 31, 2026. The graph uses the closing market price on December 12, 2024 of $101.00 per share as the initial value of our Class A common stock. Data for the S&amp;P 500 and the S&amp;P 500 Information Technology Index assume reinvestment of dividends. The comparisons in the graph below are based upon historical data and are not indicative of, nor intended to forecast, future performance of our Class A common stock.</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Comparison of Cumulative Total Return</w:t>
      </w:r>
    </w:p>
    <w:p>
      <w:pPr>
        <w:pStyle w:val="TextBody"/>
        <w:bidi w:val="0"/>
        <w:jc w:val="center"/>
        <w:rPr/>
      </w:pPr>
      <w:r>
        <w:rPr/>
        <w:t> </w:t>
      </w:r>
    </w:p>
    <w:p>
      <w:pPr>
        <w:pStyle w:val="TextBody"/>
        <w:bidi w:val="0"/>
        <w:jc w:val="center"/>
        <w:rPr/>
      </w:pPr>
      <w:r>
        <w:rPr/>
        <w:drawing>
          <wp:inline distT="0" distB="0" distL="0" distR="0">
            <wp:extent cx="5724525" cy="3505200"/>
            <wp:effectExtent l="0" t="0" r="0" b="0"/>
            <wp:docPr id="19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 descr=""/>
                    <pic:cNvPicPr>
                      <a:picLocks noChangeAspect="1" noChangeArrowheads="1"/>
                    </pic:cNvPicPr>
                  </pic:nvPicPr>
                  <pic:blipFill>
                    <a:blip r:embed="rId2"/>
                    <a:stretch>
                      <a:fillRect/>
                    </a:stretch>
                  </pic:blipFill>
                  <pic:spPr bwMode="auto">
                    <a:xfrm>
                      <a:off x="0" y="0"/>
                      <a:ext cx="5724525" cy="3505200"/>
                    </a:xfrm>
                    <a:prstGeom prst="rect">
                      <a:avLst/>
                    </a:prstGeom>
                  </pic:spPr>
                </pic:pic>
              </a:graphicData>
            </a:graphic>
          </wp:inline>
        </w:drawing>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7_management_discussion"/>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consolidated financial statements and related notes included elsewhere in this Annual Report. This discussion contains forward-looking statements that involve risks and uncertainties and our actual results, events or circumstances could differ materially from those described in forward-looking statements. Factors that could cause or contribute to such differences include those identified below and those discussed in the section titled “Risk Factors” and other parts of this Annual Report. Our historical results are not necessarily indicative of the results that may be expected for any period in the future. The last day of our fiscal year is January 31, and our fiscal quarters end on April 30, July 31, October 31 and January 31. Our fiscal years ended January 31, 2024, 2025 and 2026 are referred to herein as fiscal 2024, fiscal 2025 and fiscal 2026, respectively. Unless the context otherwise requires, all references in this Annual Report to “we,” “us,” “our,” “our company,” and “ServiceTitan” refer to ServiceTitan, Inc. and its consolidated subsidiaries, and references to our “common stock” include our Class A common stock, Class B common stock and Class C common stock.</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is the operating system that powers the trades.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modernizing a large and technologically underserved industry—an industry commonly referred to as the “trades.” The trades consist of the collection of field service activities required to install, maintain, and service the infrastructure and systems of residences and commercial buildings.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ServiceTitan was born in the trades and built for the trades. Our founders, Ara Mahdessian and Vahe Kuzoyan (our “Co-Founders”), are the sons of trades business owners and founded ServiceTitan to provide tradespeople, like their parents, with technology that is purpose built to help trades businesses thrive.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software provides an end-to-end, cloud-based software platform that connects, manages and automates a wide array of business workflows such as advertising, job scheduling and management, dispatching, generating estimates and invoices, payment processing and more. Tradespeople spend their days interfacing with the ServiceTitan platform across what we believe to be the five most business-critical functions, or the “core centers of gravity,” inside a trades business: CRM (customer relationship management, including sales enablement, marketing automation and customer service), FSM (field service management, including scheduling and dispatching), ERP (enterprise resource planning, including inventory), HCM (human capital management, including compensation and payroll integration) and FinTech (including payments and third-party consumer financing). By offering interoperable capabilities in all five centers of gravity, we continuously capture comprehensive data insights across key workflows in a trades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close customer proximity and deep connection with the industry enable us to make evidence-based recommendations that can improve our customers’ business outcomes by identifying and replicating what works and fixing what does not. Our insights are augmented by the vast amounts of structured and unstructured data that we synthesize into best practices. These insights are then delivered across automated workflows, many of which we enhance with artificial intelligence (“AI”), to address the distinct vertical-specific needs of the trades.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platform is differentiated by our close customer proximity and deep connection with the trades industry, which enables us to make real-time, evidence-based recommendations to our customers, augmented by the vast amounts of data that we synthesize into best practices. Our platform enables impactful outcomes for our customers, including accelerating revenue and driving operational efficiency, all while improving the experience for both end customers and contractors. As customers experience the significant business acceleration benefits of our platform, we have often observed our customers hire more technicians, increase </w:t>
      </w:r>
      <w:r>
        <w:rPr>
          <w:rFonts w:ascii="Times New Roman" w:hAnsi="Times New Roman"/>
          <w:color w:val="231F20"/>
          <w:sz w:val="20"/>
        </w:rPr>
        <w:t>gross transaction volume (</w:t>
      </w:r>
      <w:r>
        <w:rPr>
          <w:rFonts w:ascii="Times New Roman" w:hAnsi="Times New Roman"/>
          <w:color w:val="000000"/>
          <w:sz w:val="20"/>
        </w:rPr>
        <w:t>“</w:t>
      </w:r>
      <w:r>
        <w:rPr>
          <w:rFonts w:ascii="Times New Roman" w:hAnsi="Times New Roman"/>
          <w:color w:val="231F20"/>
          <w:sz w:val="20"/>
        </w:rPr>
        <w:t>GTV</w:t>
      </w:r>
      <w:r>
        <w:rPr>
          <w:rFonts w:ascii="Times New Roman" w:hAnsi="Times New Roman"/>
          <w:color w:val="000000"/>
          <w:sz w:val="20"/>
        </w:rPr>
        <w:t>”</w:t>
      </w:r>
      <w:r>
        <w:rPr>
          <w:rFonts w:ascii="Times New Roman" w:hAnsi="Times New Roman"/>
          <w:color w:val="231F20"/>
          <w:sz w:val="20"/>
        </w:rPr>
        <w:t>)</w:t>
      </w:r>
      <w:r>
        <w:rPr>
          <w:rFonts w:ascii="Times New Roman" w:hAnsi="Times New Roman"/>
          <w:color w:val="000000"/>
          <w:sz w:val="20"/>
        </w:rPr>
        <w:t xml:space="preserve">, representing total dollars invoiced by our customers through our platform, and adopt more add-on products. Increased customer adoption of our platform leads to further data and insights, allowing us to build more differentiated features and address opportunities in new trades, use cases and customer subsegments. All of this allows us to drive more growth and efficiency for customers, delivering considerable return on investment (“ROI”), in our products. In fiscal 2026 and fiscal 2025, we processed $82.1 billion and $68.5 billion of GTV,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Seasonality and Other Fluctuations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Generally, demand for our customers’ services tends to increase during the second quarter of our fiscal year, as hot weather in the summer months typically results in higher demand for trades businesses. Given that our revenue model allows our customers to scale as needed (processing more GTV through our platform and adding technicians), our sequential revenue growth has historically been strongest in the second quarter of each fiscal year. This is especially true for our usage-based revenue, which is directly tied to the amount of GTV processed through our platform. As our usage-based revenue consists primarily of payment processing, which we recognize net of interchange and other direct expenses which are passed to the customer, this seasonality also positively impacts our platform gross margin and operating margin for the second quarter of each fiscal year. Our historical growth—including through the acquisition of new customers and the launch of new products, particularly subscription-based products that are less seasonally impacted than our usage-based products—may have made it more difficult to evaluate the impact of seasonality on our business by masking the full impact of the heightened quarter-over-quarter growth we have generally experienced in the second quarter of each fiscal year. Going forward, we believe seasonality may continue to impact our quarterly results, potentially becoming more pronounced, or evolving to reveal novel seasonal trends.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recurring operational events that occur through our fiscal year have also historically impacted our financial performance. Specifically, we typically experience higher operating cash outflows during our first fiscal quarter due to payment of annual corporate bonuses. Additionally, our third fiscal quarter performance typically reflects increased sales and marketing expense related to our annual user conferences, Ignite and Pantheon.</w:t>
      </w:r>
    </w:p>
    <w:p>
      <w:pPr>
        <w:pStyle w:val="TextBody"/>
        <w:bidi w:val="0"/>
        <w:spacing w:before="360" w:after="283"/>
        <w:jc w:val="both"/>
        <w:rPr>
          <w:rFonts w:ascii="Times New Roman" w:hAnsi="Times New Roman"/>
          <w:sz w:val="20"/>
        </w:rPr>
      </w:pPr>
      <w:r>
        <w:rPr>
          <w:rFonts w:ascii="Times New Roman" w:hAnsi="Times New Roman"/>
          <w:b/>
          <w:color w:val="000000"/>
          <w:sz w:val="20"/>
        </w:rPr>
        <w:t>Key Factors Affecting Our Business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the growth and future success of our business is dependent upon many factors, including those described below. </w:t>
      </w:r>
    </w:p>
    <w:p>
      <w:pPr>
        <w:pStyle w:val="TextBody"/>
        <w:bidi w:val="0"/>
        <w:spacing w:before="360" w:after="283"/>
        <w:jc w:val="both"/>
        <w:rPr>
          <w:rFonts w:ascii="Times New Roman" w:hAnsi="Times New Roman"/>
          <w:sz w:val="20"/>
        </w:rPr>
      </w:pPr>
      <w:r>
        <w:rPr>
          <w:rFonts w:ascii="Times New Roman" w:hAnsi="Times New Roman"/>
          <w:b/>
          <w:i/>
          <w:color w:val="000000"/>
          <w:sz w:val="20"/>
        </w:rPr>
        <w:t>Increase GTV on Our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Grow with Our Customers.</w:t>
      </w:r>
      <w:r>
        <w:rPr>
          <w:rFonts w:ascii="Times New Roman" w:hAnsi="Times New Roman"/>
          <w:color w:val="000000"/>
          <w:sz w:val="20"/>
        </w:rPr>
        <w:t xml:space="preserve"> Our long-term revenue growth is correlated with the success of customers on our platform, and we strive to support the growth of their businesses. We can improve outcomes for our customers across every stage of the go-to-market funnel, from determining which end customers to target, marketing to those end customers effectively and converting and retaining end customers. We empower technicians with the tools and training necessary to drive better end-customer outcomes that, in turn, can generate higher ticket sizes and more repeatable work orders. As our customers grow on our platform and expand into additional locations, generating more sales, hiring more technicians and automating more workflows, they can also significantly increase GTV, and, in turn, drive our growth and financial success. </w:t>
      </w:r>
    </w:p>
    <w:p>
      <w:pPr>
        <w:pStyle w:val="TextBody"/>
        <w:bidi w:val="0"/>
        <w:spacing w:before="240" w:after="283"/>
        <w:jc w:val="both"/>
        <w:rPr>
          <w:rFonts w:ascii="Times New Roman" w:hAnsi="Times New Roman"/>
          <w:sz w:val="20"/>
        </w:rPr>
      </w:pPr>
      <w:r>
        <w:rPr>
          <w:rFonts w:ascii="Times New Roman" w:hAnsi="Times New Roman"/>
          <w:i/>
          <w:color w:val="000000"/>
          <w:sz w:val="20"/>
        </w:rPr>
        <w:t>Increase GTV By Serving Additional Customers in Existing Trades and Markets.</w:t>
      </w:r>
      <w:r>
        <w:rPr>
          <w:rFonts w:ascii="Times New Roman" w:hAnsi="Times New Roman"/>
          <w:color w:val="000000"/>
          <w:sz w:val="20"/>
        </w:rPr>
        <w:t xml:space="preserve"> Increasing our GTV also depends on our ability to serve additional customers in existing trades and markets. As our platform has deepened and expanded in features, we have been able to serve larger customers. The trades industry is also experiencing an influx of professional operators, including private equity owners, who are investing in and consolidating trades businesses, in many cases on our platform. Because of these dynamics, we focus on increasing the GTV on our platform, rather than new customer count. We believe our market opportunity is substantial, and we expect to continue to make significant investments across all aspects of our business to continue to increase the GTV on our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designed our platform to address key workflows within a trades business. In contrast, existing solutions are difficult to adopt and resource-intensive to stitch together in a manner that would address multiple workflows and generate return on investment for trades businesses. This gives us a substantial opportunity to continue to invest in our platform and in our sales and marketing efforts to add more customers in, or help existing customers expand into, the expansive set of trade verticals we have penetrated so far. We also believe that there is further potential to expand our customer base by productizing additional capabilities for these trade verticals, particularly AI-powered capabilities.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Increase GTV By Entering New Trades and Markets. </w:t>
      </w:r>
      <w:r>
        <w:rPr>
          <w:rFonts w:ascii="Times New Roman" w:hAnsi="Times New Roman"/>
          <w:color w:val="000000"/>
          <w:sz w:val="20"/>
        </w:rPr>
        <w:t xml:space="preserve">ServiceTitan began by serving a single trade—plumbing—and focusing on residential homes, and we now serve many trades that serve all sites: homes, businesses and even new construction. As we have penetrated new trades over time, we have significantly expanded our potential customer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reach, unlocking new markets to drive future customer growth. We plan to continue to innovate and expand into new trade verticals through our playbook of harnessing common features of the trades industry, while also identifying and building features specific to each new trade vertical. It takes significant time and research and development to identify new trade verticals to enter and build out functionalities on top of our common products, as well as investment in sales and marketing resources, to ensure we can successfully go to market with an end-to-end offering in such new verticals.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Retain and Expand Our Existing Customer Relationships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retain and increase the revenue we earn from existing customers is a key driver of our future business performance and depends on our customers renewing their subscriptions to our platform, expanding their number of users, increasing their usage of existing solutions and adopting additional products, driven by the three key strategies described below. We have observed that as customers experience the significant business acceleration benefits of our platform, they typically not only remain on our platform but also often hire more technicians and adopt more of our products. </w:t>
      </w:r>
    </w:p>
    <w:p>
      <w:pPr>
        <w:pStyle w:val="TextBody"/>
        <w:bidi w:val="0"/>
        <w:spacing w:before="240" w:after="283"/>
        <w:jc w:val="both"/>
        <w:rPr>
          <w:rFonts w:ascii="Times New Roman" w:hAnsi="Times New Roman"/>
          <w:sz w:val="20"/>
        </w:rPr>
      </w:pPr>
      <w:r>
        <w:rPr>
          <w:rFonts w:ascii="Times New Roman" w:hAnsi="Times New Roman"/>
          <w:i/>
          <w:color w:val="000000"/>
          <w:sz w:val="20"/>
        </w:rPr>
        <w:t>Retain Our Customers.</w:t>
      </w:r>
      <w:r>
        <w:rPr>
          <w:rFonts w:ascii="Times New Roman" w:hAnsi="Times New Roman"/>
          <w:color w:val="000000"/>
          <w:sz w:val="20"/>
        </w:rPr>
        <w:t xml:space="preserve"> Our customer relationship begins with a thorough onboarding process. Then, our customers deploy our platform end-to-end across their entire organization, meaning the ServiceTitan platform powers their workflows and is the primary interface used by their employees. As a result, we become deeply embedded as the operating system that powers our customers’ businesses. Over time, our Customer Success Management teams work closely with our customers to assist them in fully utilizing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Drive More Value to Our Customers through Add-on Product Adoption</w:t>
      </w:r>
      <w:r>
        <w:rPr>
          <w:rFonts w:ascii="Times New Roman" w:hAnsi="Times New Roman"/>
          <w:color w:val="000000"/>
          <w:sz w:val="20"/>
        </w:rPr>
        <w:t xml:space="preserve">. As we demonstrate the high ROI of our products to our customers, we are able to sell more add-on products to them and increase our share of wallet, which we measure as the portion of our customers’ GTV that we are able to earn. We efficiently expand our customer relationships over time to serve their additional needs and automate more workflows through our platform. We believe that the more our customers use our platform to power their workflows, the more value we deliver to them, and the higher revenue we can earn from them. As a result, we continue to invest in research and development to improve the functionality of our existing Core and add-on products. Our ability to increase adoption of our add-on products will depend on customer satisfaction with our platform, competition, pricing and our ability to continuously demonstrate the value proposition of our add-on products. We plan to continue investing in sales and marketing, thought leadership, industry resources and evolving our customer success teams to focus on driving additional expanded value to customers on our platform. </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Build and Bundle New Products to Extend Our Platform. </w:t>
      </w:r>
      <w:r>
        <w:rPr>
          <w:rFonts w:ascii="Times New Roman" w:hAnsi="Times New Roman"/>
          <w:color w:val="000000"/>
          <w:sz w:val="20"/>
        </w:rPr>
        <w:t xml:space="preserve">We have a culture of significant innovation evidenced by the extension of our platform’s capabilities over time, producing new workflows across trades. We intend to continue to judiciously invest in research and development to expand the functionality of our platform, to develop and bundle new add-on products and to broaden our capabilities to address new market opportunities across trades. Powering key workflows of our customers through our Core product positions us to deliver value-added Pro, FinTech and other AI-powered products that complement our Core product. We build Pro and FinTech products as an integrated add-on to our expansive Core product offering to deliver our customers business outcomes in a way that we believe no individual, standalone point solution can. As we continue to innovate and execute on our product roadmap, we believe customers will continue to find our new products additive and therefore continue to adopt them. We believe that there is further potential to expand our market opportunity by building new products, particularly those powered by AI, to earn an even greater potential share of our customers’ GTV in the future. While our engrained industry position and exposure to the trades facilitate efficient product development opportunities, innovating new products will continue to require substantial time and research and development resources. </w:t>
      </w:r>
    </w:p>
    <w:p>
      <w:pPr>
        <w:pStyle w:val="TextBody"/>
        <w:bidi w:val="0"/>
        <w:spacing w:before="360" w:after="283"/>
        <w:jc w:val="both"/>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two general categories of revenue as set forth below: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Platform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principally generate platform revenue through (i) subscription revenue generated from access to and use of our platform, including subscriptions to our Core and certain Pro products, and (ii) usage-based revenue generated from the transactions using our FinTech solutions and usage of certain Pro products and other usage-based services. Our customer contracts are generally based on the number of users, mix of products, number of end customers and the amount of GTV. </w:t>
      </w:r>
    </w:p>
    <w:p>
      <w:pPr>
        <w:pStyle w:val="TextBody"/>
        <w:bidi w:val="0"/>
        <w:spacing w:before="240" w:after="283"/>
        <w:jc w:val="both"/>
        <w:rPr>
          <w:rFonts w:ascii="Times New Roman" w:hAnsi="Times New Roman"/>
          <w:sz w:val="20"/>
        </w:rPr>
      </w:pPr>
      <w:r>
        <w:rPr>
          <w:rFonts w:ascii="Times New Roman" w:hAnsi="Times New Roman"/>
          <w:color w:val="000000"/>
          <w:sz w:val="20"/>
        </w:rPr>
        <w:t>We offer tiered subscription plans for our Core and Pro products with varying contract lengths. Pursuant to these subscription contracts our customers do not have the ability to take possession of our proprietary software. For new customers, we primarily enter into either annual or multi-year subscription agreements with contract terms typically ranging from 12 to 36 months; however, certain Pro product and legacy customers are on month-to-month contracts. In nearly all cases, these contracts (monthly, annual, or multi-year) are renewed automatically unless cancelled in advance. We generally bill our customers on a monthly basis in advance of services, regardless of contract term. In some cases for certain products, the customer is billed in arrears. Pricing for these subscriptions are driven by the features included in the package and are linked to the size of the customer’s business, generally based on the number of field technicians at the customer but in some cases directly tied to the number of end customers or the customer’s revenue. In this way, our success is linked to the growth of our customers, which we measure through our net dollar retention rate. Our net dollar retention rate</w:t>
      </w:r>
      <w:r>
        <w:rPr>
          <w:rFonts w:ascii="Times New Roman" w:hAnsi="Times New Roman"/>
          <w:color w:val="000000"/>
          <w:sz w:val="13"/>
        </w:rPr>
        <w:t>2</w:t>
      </w:r>
      <w:r>
        <w:rPr>
          <w:rFonts w:ascii="Times New Roman" w:hAnsi="Times New Roman"/>
          <w:color w:val="000000"/>
          <w:sz w:val="20"/>
        </w:rPr>
        <w:t xml:space="preserve"> was over 110% for each of the fiscal years ended January 31, 2026,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When subscription fees are received in advance of providing the related services, we record deferred revenue on our consolidated balance sheet and recognize the revenue ratably over the related subscription period. We recognize a contract asset when revenue has been recognized but our right to consideration from the customer is conditional upon our future performance. Contract assets are transferred to accounts receivable when our right to the consideration becomes unconditional.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4"/>
        </w:rPr>
        <w:t>Our net dollar retention rate measures the increase in annualized billings across our existing customer base by comparing the annualized billings from the same set of customers across comparable periods. To calculate our net dollar retention rate as of a given quarter, we first calculate annualized billings from the cohort of all customers billed in the same quarter in the prior year (the “prior period annualized billings”). We then calculate annualized billings from these same customers as of the current quarter (the “current period annualized billings”). Current period annualized billings includes the effect of any expansion, contraction or churn over the trailing 12 months. We divide (a) current period annualized billings by (b) prior period annualized billings to arrive at the net dollar retention rate. When calculating net dollar retention rate, we do not include the billings from any customers that were acquired as the result of our acquisition of a business until the completion of the first full quarter following the one-year anniversary of the acquisition.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4"/>
        </w:rPr>
      </w:pPr>
      <w:r>
        <w:rPr>
          <w:rFonts w:ascii="Times New Roman" w:hAnsi="Times New Roman"/>
          <w:color w:val="000000"/>
          <w:sz w:val="14"/>
        </w:rPr>
        <w:t>We define annualized billings for a given quarter as the annualized value of the quarterly amount invoiced for our Core and Pro products, net of reserves, and the quarterly revenue recognized for our FinTech products. Contracts for our platform solutions range from monthly to multi-year. While monthly subscribers as a group have historically maintained or increased their subscriptions over time, there is no guarantee that any particular customer on a monthly subscription will renew its subscription in any given month, and therefore the calculation of annualized billings for these monthly subscriptions may not accurately reflect revenue to be received over a 12-month period from such customers. There may be seasonal fluctuations in annualized billings as a result of heightened demand for our customers during peak times. Annualized billings should be viewed independently of, and not as a replacement for, revenue and does not represent our revenue on an annualized basis.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Usage-based services primarily consist of payment processing where we connect to third-party processors to allow our customers to accept payments, primarily credit and debit cards, and also includes end-customer financing solutions and other forms of payment. The third-party processor determines the eligibility of the end customer to participate in the programs, provides the payment settlement and financing options to the end customer and is responsible for the provision of the payment or financing services. We receive a fee from the third-party processors, depending on the size and type of the transaction, which we recognize net of interchange and other direct expenses which are passed onto the customer. Revenue from financing and processing payments is recognized at the time of the transaction. In addition to payment processing revenue, we have a number of Pro products that generate revenue depending on the level of usage, which we recognize monthly in arrears based on consumption. Usage revenue also includes fees we earn from third-party partners based on transactions or customer activity facilitated through our platform, which we recognize in the period in which the underlying activity occurs. In addition, usage-based revenue also include revenue from our Virtual Agents, which is consumption-based and recognized in the period in which the underlying usage occurs.</w:t>
      </w:r>
    </w:p>
    <w:p>
      <w:pPr>
        <w:pStyle w:val="TextBody"/>
        <w:bidi w:val="0"/>
        <w:spacing w:before="360" w:after="283"/>
        <w:jc w:val="both"/>
        <w:rPr>
          <w:rFonts w:ascii="Times New Roman" w:hAnsi="Times New Roman"/>
          <w:sz w:val="20"/>
        </w:rPr>
      </w:pPr>
      <w:r>
        <w:rPr>
          <w:rFonts w:ascii="Times New Roman" w:hAnsi="Times New Roman"/>
          <w:i/>
          <w:color w:val="000000"/>
          <w:sz w:val="20"/>
        </w:rPr>
        <w:t>Professional Services and Other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revenue is primarily derived from services we provide to our customers, principally onboarding, training, and some ongoing professional services. Professional services and other revenue also includes revenue generated from our live voice and chat services and certain other ancillary hardware products and services sold to customers. Fees for these professional services are generally invoiced separately at the commencement of the contract or as ordered by the customer. Revenue is recognized for professional services as the services are performed or products are delivered. </w:t>
      </w:r>
    </w:p>
    <w:p>
      <w:pPr>
        <w:pStyle w:val="TextBody"/>
        <w:bidi w:val="0"/>
        <w:spacing w:before="360" w:after="283"/>
        <w:jc w:val="both"/>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platform revenue consists of personnel-related costs and costs related to the provisioning of our platform services. Personnel-related costs primarily include salary, employee benefits, bonuses and stock-based compensation related to our customer support team and certain customer success personnel. Costs related to the provisioning of our platform services are primarily comprised of fees paid to third-party service providers associated with delivery of Pro and FinTech products, platform infrastructure and server costs, call tracking fees, and payment processing fees. In addition, cost of platform revenue includes amortization of certain acquired intangible assets, amortization of capitalized internal-use software costs directly related to our cloud-based software solution and allocated overhead, which we define as costs such as depreciation, rent, utilities, and other facilities-related costs that are allocated across our expense categories based on headcount.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cost of platform revenue to increase in absolute dollars as the adoption and usage of our platform and product offerings increase.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Professional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cost of revenue consists primarily of personnel-related costs in connection with providing customer onboarding and customer implementation, live voice and chat services. Personnel-related costs primarily include salary, employee benefits, bonuses and stock-based compensation. Professional services and other cost of revenue also includes amortization of certain acquired intangible assets, allocated overhead, and the cost of other ancillary hardware products and services sold to customers. Professional services and other cost of revenue historically has exceeded professional services and other revenue as we invest in providing customers with implementation and onboarding services to enhance customer success.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cost of professional services and other revenue to increase in absolute dollars as the adoption of our product offerings for both new and existing customers increases.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expenses consist of sales and marketing, research and development and general and administrative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incurred $59.1 million of the stock-based compensation expense associated with certain performance-based options and RSUs, which is included in operating expenses in the fourth quarter of fiscal 2025, resulting from the completion of our IPO on December 13, 2024. In addition, we will incur additional stock-based compensation expense going forward relating to these award, including the </w:t>
      </w:r>
      <w:r>
        <w:rPr>
          <w:rFonts w:ascii="Times New Roman" w:hAnsi="Times New Roman"/>
          <w:color w:val="231F20"/>
          <w:sz w:val="20"/>
        </w:rPr>
        <w:t>performance-based RSU’s granted to our Co-Founders</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i/>
          <w:color w:val="000000"/>
          <w:sz w:val="20"/>
        </w:rPr>
        <w:t>Sales and Marketing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 consists primarily of personnel-related costs, consulting costs and other costs incurred in connection with our sales and marketing and certain customer success efforts. Personnel-related costs primarily include salary, commissions, employee benefits, bonuses and stock-based compensation for our outbound sales personnel that focus on new customer acquisition and for our customer success personnel that focus on expanding adoption of our products at existing customers. Sales and marketing expense also includes marketing and advertising expenses, such as our annual customer conferences, Pantheon and Ignite, and travel and trade show expenses, amortization of acquired customer intangible assets and allocated overhead. Our annual customer conferences are significant sales and marketing events, so we therefore expect an increase in sales and marketing expense during the fiscal third quarter when they occur. We expect that sales and marketing expense will increase on an absolute dollar basis as we invest to grow our business. We plan to continue to expand sales and marketing efforts to attract new customers, retain existing customers and increase revenue from both new and existing customers by adding sales personnel. </w:t>
      </w:r>
    </w:p>
    <w:p>
      <w:pPr>
        <w:pStyle w:val="TextBody"/>
        <w:bidi w:val="0"/>
        <w:spacing w:before="360" w:after="283"/>
        <w:jc w:val="both"/>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 consists primarily of personnel-related and other costs incurred in connection with product management and development efforts. Personnel-related costs primarily include salary, employee benefits, bonuses and stock-based compensation. Research and development expense also includes fees to third-party product development resources, infrastructure and server costs, and allocated overhead costs. We expect that research and development expense will increase on an absolute dollar basis as we invest to build, enhance, maintain and scale our products.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 consists primarily of personnel-related costs for our executive, finance, legal, information systems, operations and human resource teams. Personnel-related costs primarily include salary, employee benefits, bonuses and stock-based compensation. General and administrative expense also includes professional fees, other outside consulting expenses, acquisition-related expenses and allocated overhead. We expect that general and administrative expense will increase on an absolute dollar basis, but over time decrease as a percentage of total revenue, as we focus on the efficiency of our processes and systems that will enable our internal support functions to scale with the growth of our business. We expect increases to general and administrative expense to support our growth and as we continue to incur the costs of compliance associated with being a public company, including increased accounting and legal expenses.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(expense), net, consists primarily of interest expense related to our debt arrangements with financial institutions, interest income earned on our cash and cash equivalents, gains or losses on foreign currency transactions and miscellaneous other income. </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income tax provision consists of U.S. federal, state, and foreign income taxes. We maintain a full valuation allowance for our U.S. federal and state deferred tax assets, including net operating loss carryforwards, that are unable to be offset by our U.S. federal and state deferred tax liabilities, as we have concluded that it is not more likely than not that the U.S. deferred tax assets will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For a discussion of our consolidated statement of operations data for fiscal 2025 compared to fiscal 2024, refer to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our Annual Report on Form 10-K for the fiscal year ended January 31, 2025 filed with the SEC on April 2, 2025, which is incorporated by reference herein.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following table sets forth our consolidated statements of operations data for the periods indicated:</w:t>
      </w:r>
    </w:p>
    <w:p>
      <w:pPr>
        <w:pStyle w:val="TextBody"/>
        <w:bidi w:val="0"/>
        <w:jc w:val="both"/>
        <w:rPr/>
      </w:pPr>
      <w:r>
        <w:rPr/>
        <w:t> </w:t>
      </w:r>
    </w:p>
    <w:tbl>
      <w:tblPr>
        <w:tblW w:w="6883" w:type="dxa"/>
        <w:jc w:val="left"/>
        <w:tblInd w:w="0" w:type="dxa"/>
        <w:tblLayout w:type="fixed"/>
        <w:tblCellMar>
          <w:top w:w="28" w:type="dxa"/>
          <w:left w:w="28" w:type="dxa"/>
          <w:bottom w:w="28" w:type="dxa"/>
          <w:right w:w="28" w:type="dxa"/>
        </w:tblCellMar>
      </w:tblPr>
      <w:tblGrid>
        <w:gridCol w:w="2661"/>
        <w:gridCol w:w="346"/>
        <w:gridCol w:w="196"/>
        <w:gridCol w:w="751"/>
        <w:gridCol w:w="166"/>
        <w:gridCol w:w="146"/>
        <w:gridCol w:w="196"/>
        <w:gridCol w:w="751"/>
        <w:gridCol w:w="166"/>
        <w:gridCol w:w="146"/>
        <w:gridCol w:w="196"/>
        <w:gridCol w:w="751"/>
        <w:gridCol w:w="411"/>
      </w:tblGrid>
      <w:tr>
        <w:trPr/>
        <w:tc>
          <w:tcPr>
            <w:tcW w:w="2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287,226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237,711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559,494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Comparison of Fiscal 2026 and Fiscal 2025</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Revenue</w:t>
      </w:r>
    </w:p>
    <w:p>
      <w:pPr>
        <w:pStyle w:val="TextBody"/>
        <w:bidi w:val="0"/>
        <w:jc w:val="left"/>
        <w:rPr/>
      </w:pPr>
      <w:r>
        <w:rPr/>
        <w:t> </w:t>
      </w:r>
    </w:p>
    <w:tbl>
      <w:tblPr>
        <w:tblW w:w="7281" w:type="dxa"/>
        <w:jc w:val="left"/>
        <w:tblInd w:w="0" w:type="dxa"/>
        <w:tblLayout w:type="fixed"/>
        <w:tblCellMar>
          <w:top w:w="28" w:type="dxa"/>
          <w:left w:w="28" w:type="dxa"/>
          <w:bottom w:w="28" w:type="dxa"/>
          <w:right w:w="28" w:type="dxa"/>
        </w:tblCellMar>
      </w:tblPr>
      <w:tblGrid>
        <w:gridCol w:w="2451"/>
        <w:gridCol w:w="146"/>
        <w:gridCol w:w="196"/>
        <w:gridCol w:w="691"/>
        <w:gridCol w:w="146"/>
        <w:gridCol w:w="146"/>
        <w:gridCol w:w="196"/>
        <w:gridCol w:w="691"/>
        <w:gridCol w:w="146"/>
        <w:gridCol w:w="146"/>
        <w:gridCol w:w="196"/>
        <w:gridCol w:w="691"/>
        <w:gridCol w:w="146"/>
        <w:gridCol w:w="146"/>
        <w:gridCol w:w="223"/>
        <w:gridCol w:w="438"/>
        <w:gridCol w:w="486"/>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revenue increased by $185.9 million, or 25%, for fiscal 2026, compared to fiscal 2025. This increase was primarily driven by subscription revenue, which increased by $146.6 million, or 26%, for fiscal 2026, compared to fiscal 2025. In addition, revenue from our usage-based products increased by $39.3 million, or 23%, for fiscal 2026, compared to fiscal 2025. This increase was primarily driven by increases in gross transaction volume and a higher earn rate generated on that volume.</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revenue increased by $3.2 million, or 10%, for fiscal 2026, compared to fiscal 2025. This increase was primarily driven by a higher volume of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Cost of Revenue</w:t>
      </w:r>
    </w:p>
    <w:p>
      <w:pPr>
        <w:pStyle w:val="TextBody"/>
        <w:bidi w:val="0"/>
        <w:jc w:val="left"/>
        <w:rPr/>
      </w:pPr>
      <w:r>
        <w:rPr/>
        <w:t> </w:t>
      </w:r>
    </w:p>
    <w:tbl>
      <w:tblPr>
        <w:tblW w:w="7906" w:type="dxa"/>
        <w:jc w:val="left"/>
        <w:tblInd w:w="0" w:type="dxa"/>
        <w:tblLayout w:type="fixed"/>
        <w:tblCellMar>
          <w:top w:w="28" w:type="dxa"/>
          <w:left w:w="28" w:type="dxa"/>
          <w:bottom w:w="28" w:type="dxa"/>
          <w:right w:w="28" w:type="dxa"/>
        </w:tblCellMar>
      </w:tblPr>
      <w:tblGrid>
        <w:gridCol w:w="2856"/>
        <w:gridCol w:w="146"/>
        <w:gridCol w:w="196"/>
        <w:gridCol w:w="691"/>
        <w:gridCol w:w="301"/>
        <w:gridCol w:w="146"/>
        <w:gridCol w:w="196"/>
        <w:gridCol w:w="691"/>
        <w:gridCol w:w="301"/>
        <w:gridCol w:w="146"/>
        <w:gridCol w:w="196"/>
        <w:gridCol w:w="601"/>
        <w:gridCol w:w="146"/>
        <w:gridCol w:w="146"/>
        <w:gridCol w:w="282"/>
        <w:gridCol w:w="379"/>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213,544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73,682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287,226</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270,951</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673,739</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 gross</w:t>
              <w:br/>
              <w: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231F20"/>
          <w:sz w:val="20"/>
        </w:rPr>
      </w:pPr>
      <w:r>
        <w:rPr>
          <w:rFonts w:ascii="Times New Roman" w:hAnsi="Times New Roman"/>
          <w:color w:val="231F20"/>
          <w:sz w:val="20"/>
        </w:rPr>
        <w:t>Platform cost of revenue increased by $10.6 million, or 5%, for fiscal 2026, compared to fiscal 2025. This increase was primarily due to a $16.4 million increase in the costs related to the provisioning of our platform services products. This increase was partially offset by a $6.0 million decrease in personnel-related costs, primarily due to the shift in roles of our customer success function to sales and marketing activities at the beginning of fiscal 2026.</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Professional services and other cost of revenue increased $5.7 million, or 8%, for fiscal 2026, compared to fiscal 2025. Personnel-related costs increased by $7.7 million primarily due to an increase in headcount. This increase was partially offset by a decrease of $2.3 million in third-party service fees.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Operating Expenses</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Sales and Marketing Expense</w:t>
      </w:r>
    </w:p>
    <w:p>
      <w:pPr>
        <w:pStyle w:val="TextBody"/>
        <w:bidi w:val="0"/>
        <w:jc w:val="left"/>
        <w:rPr/>
      </w:pPr>
      <w:r>
        <w:rPr/>
        <w:t> </w:t>
      </w:r>
    </w:p>
    <w:tbl>
      <w:tblPr>
        <w:tblW w:w="7546" w:type="dxa"/>
        <w:jc w:val="left"/>
        <w:tblInd w:w="0" w:type="dxa"/>
        <w:tblLayout w:type="fixed"/>
        <w:tblCellMar>
          <w:top w:w="28" w:type="dxa"/>
          <w:left w:w="28" w:type="dxa"/>
          <w:bottom w:w="28" w:type="dxa"/>
          <w:right w:w="28" w:type="dxa"/>
        </w:tblCellMar>
      </w:tblPr>
      <w:tblGrid>
        <w:gridCol w:w="2616"/>
        <w:gridCol w:w="146"/>
        <w:gridCol w:w="196"/>
        <w:gridCol w:w="691"/>
        <w:gridCol w:w="241"/>
        <w:gridCol w:w="146"/>
        <w:gridCol w:w="196"/>
        <w:gridCol w:w="691"/>
        <w:gridCol w:w="241"/>
        <w:gridCol w:w="146"/>
        <w:gridCol w:w="196"/>
        <w:gridCol w:w="601"/>
        <w:gridCol w:w="146"/>
        <w:gridCol w:w="146"/>
        <w:gridCol w:w="223"/>
        <w:gridCol w:w="438"/>
        <w:gridCol w:w="486"/>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253,349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and marketing expense increased by $37.5 million, or 15%, for fiscal 2026, compared to fiscal 2025. The increase in sales and marketing expense was primarily driven by an increase of $28.9 million in personnel-related costs, which included increased headcount, an increase of $5.3 million in sales commissions, and an increase of $1.1 million in stock-based compensation. There was an additional increase of $6.5 million in marketing and advertising costs and an increase of $5.5 million in employee benefit expenses primarily related to health insurance. These increases were partially offset by a decrease of $4.6 million in impairment losses on operating lease assets and related property and equipment for office spaces that we ceased to use.</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Research and Development Expense</w:t>
      </w:r>
    </w:p>
    <w:p>
      <w:pPr>
        <w:pStyle w:val="TextBody"/>
        <w:bidi w:val="0"/>
        <w:jc w:val="both"/>
        <w:rPr/>
      </w:pPr>
      <w:r>
        <w:rPr/>
        <w:t> </w:t>
      </w:r>
    </w:p>
    <w:tbl>
      <w:tblPr>
        <w:tblW w:w="8011" w:type="dxa"/>
        <w:jc w:val="left"/>
        <w:tblInd w:w="0" w:type="dxa"/>
        <w:tblLayout w:type="fixed"/>
        <w:tblCellMar>
          <w:top w:w="28" w:type="dxa"/>
          <w:left w:w="28" w:type="dxa"/>
          <w:bottom w:w="28" w:type="dxa"/>
          <w:right w:w="28" w:type="dxa"/>
        </w:tblCellMar>
      </w:tblPr>
      <w:tblGrid>
        <w:gridCol w:w="3081"/>
        <w:gridCol w:w="146"/>
        <w:gridCol w:w="196"/>
        <w:gridCol w:w="691"/>
        <w:gridCol w:w="241"/>
        <w:gridCol w:w="146"/>
        <w:gridCol w:w="196"/>
        <w:gridCol w:w="691"/>
        <w:gridCol w:w="241"/>
        <w:gridCol w:w="146"/>
        <w:gridCol w:w="196"/>
        <w:gridCol w:w="601"/>
        <w:gridCol w:w="146"/>
        <w:gridCol w:w="146"/>
        <w:gridCol w:w="223"/>
        <w:gridCol w:w="438"/>
        <w:gridCol w:w="48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302,589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263,054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 increased by $39.5 million, or 15%, for fiscal 2026, compared to fiscal 2025. The increase in research and development expense was primarily driven by an increase of $35.7 million in personnel-related costs, which included an increase in headcount and an increase of $6.7 million in stock-based compensation. There was also an increase of $4.9 million in employee benefit expenses primarily related to health insurance and an increase of $4.4 million in infrastructure and server costs. These increases were partially offset by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decrease of $4.6 million in impairment losses on operating lease assets and related property and equipment for office spaces that we ceased to use.</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General and Administrative Expense</w:t>
      </w:r>
    </w:p>
    <w:p>
      <w:pPr>
        <w:pStyle w:val="TextBody"/>
        <w:bidi w:val="0"/>
        <w:jc w:val="both"/>
        <w:rPr/>
      </w:pPr>
      <w:r>
        <w:rPr/>
        <w:t> </w:t>
      </w:r>
    </w:p>
    <w:tbl>
      <w:tblPr>
        <w:tblW w:w="8011" w:type="dxa"/>
        <w:jc w:val="left"/>
        <w:tblInd w:w="0" w:type="dxa"/>
        <w:tblLayout w:type="fixed"/>
        <w:tblCellMar>
          <w:top w:w="28" w:type="dxa"/>
          <w:left w:w="28" w:type="dxa"/>
          <w:bottom w:w="28" w:type="dxa"/>
          <w:right w:w="28" w:type="dxa"/>
        </w:tblCellMar>
      </w:tblPr>
      <w:tblGrid>
        <w:gridCol w:w="3081"/>
        <w:gridCol w:w="146"/>
        <w:gridCol w:w="196"/>
        <w:gridCol w:w="691"/>
        <w:gridCol w:w="241"/>
        <w:gridCol w:w="146"/>
        <w:gridCol w:w="196"/>
        <w:gridCol w:w="691"/>
        <w:gridCol w:w="241"/>
        <w:gridCol w:w="146"/>
        <w:gridCol w:w="196"/>
        <w:gridCol w:w="601"/>
        <w:gridCol w:w="146"/>
        <w:gridCol w:w="146"/>
        <w:gridCol w:w="223"/>
        <w:gridCol w:w="438"/>
        <w:gridCol w:w="486"/>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249,470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 expense as a</w:t>
              <w:br/>
              <w:t>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 increased by $35.0 million, or 16%, for fiscal 2026, compared to fiscal 2025. The increase in general and administrative expense was primarily driven by an increase of $31.7 million in personnel-related costs, which included an increase in headcount and an increase of $24.5 million in stock-based compensation. In fiscal 2026, stock-based compensation includes $53.6 million related to performance-based RSUs granted to our Co-Founders in October 2024. Additionally, there was an increase of $7.1 million in third-party consulting costs related to legal, consulting and audit services, an increase of $5.6 million in our allowance for credit losses as we further integrated acquired businesses, and an increase of $2.5 million in employee benefit expenses primarily related to health insurance. These increases were partially offset by a decrease of $13.2 million in impairment losses on operating lease assets and related property and equipment for office spaces that we ceased to use.</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Other Income (Expense), Net</w:t>
      </w:r>
    </w:p>
    <w:p>
      <w:pPr>
        <w:pStyle w:val="TextBody"/>
        <w:bidi w:val="0"/>
        <w:jc w:val="both"/>
        <w:rPr/>
      </w:pPr>
      <w:r>
        <w:rPr/>
        <w:t> </w:t>
      </w:r>
    </w:p>
    <w:tbl>
      <w:tblPr>
        <w:tblW w:w="6496" w:type="dxa"/>
        <w:jc w:val="left"/>
        <w:tblInd w:w="0" w:type="dxa"/>
        <w:tblLayout w:type="fixed"/>
        <w:tblCellMar>
          <w:top w:w="28" w:type="dxa"/>
          <w:left w:w="28" w:type="dxa"/>
          <w:bottom w:w="28" w:type="dxa"/>
          <w:right w:w="28" w:type="dxa"/>
        </w:tblCellMar>
      </w:tblPr>
      <w:tblGrid>
        <w:gridCol w:w="2086"/>
        <w:gridCol w:w="146"/>
        <w:gridCol w:w="196"/>
        <w:gridCol w:w="601"/>
        <w:gridCol w:w="146"/>
        <w:gridCol w:w="146"/>
        <w:gridCol w:w="196"/>
        <w:gridCol w:w="571"/>
        <w:gridCol w:w="166"/>
        <w:gridCol w:w="146"/>
        <w:gridCol w:w="196"/>
        <w:gridCol w:w="601"/>
        <w:gridCol w:w="146"/>
        <w:gridCol w:w="146"/>
        <w:gridCol w:w="165"/>
        <w:gridCol w:w="496"/>
        <w:gridCol w:w="34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Other income (expense), net, increased by $18.9 million for fiscal 2026, compared to fiscal 2025, primarily due to an increase of $10.5 million in interest income related to our higher cash balance and a decrease of $8.3 million in interest expense due to </w:t>
      </w:r>
      <w:r>
        <w:rPr>
          <w:rFonts w:ascii="Times New Roman" w:hAnsi="Times New Roman"/>
          <w:color w:val="231F20"/>
          <w:sz w:val="20"/>
        </w:rPr>
        <w:t>the restructuring of our debt and</w:t>
      </w:r>
      <w:r>
        <w:rPr>
          <w:rFonts w:ascii="Times New Roman" w:hAnsi="Times New Roman"/>
          <w:color w:val="000000"/>
          <w:sz w:val="20"/>
        </w:rPr>
        <w:t xml:space="preserve"> repayment of </w:t>
      </w:r>
      <w:r>
        <w:rPr>
          <w:rFonts w:ascii="Times New Roman" w:hAnsi="Times New Roman"/>
          <w:color w:val="231F20"/>
          <w:sz w:val="20"/>
        </w:rPr>
        <w:t>our Revolver Facility that occurred in fiscal 2025</w:t>
      </w:r>
      <w:r>
        <w:rPr>
          <w:rFonts w:ascii="Times New Roman" w:hAnsi="Times New Roman"/>
          <w:color w:val="000000"/>
          <w:sz w:val="20"/>
        </w:rPr>
        <w: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Provision for Income Taxes</w:t>
      </w:r>
    </w:p>
    <w:p>
      <w:pPr>
        <w:pStyle w:val="TextBody"/>
        <w:bidi w:val="0"/>
        <w:jc w:val="both"/>
        <w:rPr/>
      </w:pPr>
      <w:r>
        <w:rPr/>
        <w:t> </w:t>
      </w:r>
    </w:p>
    <w:tbl>
      <w:tblPr>
        <w:tblW w:w="5936" w:type="dxa"/>
        <w:jc w:val="left"/>
        <w:tblInd w:w="0" w:type="dxa"/>
        <w:tblLayout w:type="fixed"/>
        <w:tblCellMar>
          <w:top w:w="28" w:type="dxa"/>
          <w:left w:w="28" w:type="dxa"/>
          <w:bottom w:w="28" w:type="dxa"/>
          <w:right w:w="28" w:type="dxa"/>
        </w:tblCellMar>
      </w:tblPr>
      <w:tblGrid>
        <w:gridCol w:w="1981"/>
        <w:gridCol w:w="146"/>
        <w:gridCol w:w="196"/>
        <w:gridCol w:w="511"/>
        <w:gridCol w:w="146"/>
        <w:gridCol w:w="146"/>
        <w:gridCol w:w="196"/>
        <w:gridCol w:w="511"/>
        <w:gridCol w:w="146"/>
        <w:gridCol w:w="146"/>
        <w:gridCol w:w="196"/>
        <w:gridCol w:w="376"/>
        <w:gridCol w:w="146"/>
        <w:gridCol w:w="146"/>
        <w:gridCol w:w="223"/>
        <w:gridCol w:w="438"/>
        <w:gridCol w:w="28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(dollars in thousands)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231F20"/>
          <w:sz w:val="20"/>
        </w:rPr>
        <w:t>Our provision for income taxes increased by $0.4 million, or 18%, for fiscal 2026, compared to fiscal 2025. The change is primarily driven by the deferred tax expense from the amortization of indefinite-lived tax amortizable goodwill. For additional detail, s</w:t>
      </w:r>
      <w:r>
        <w:rPr>
          <w:rFonts w:ascii="Times New Roman" w:hAnsi="Times New Roman"/>
          <w:color w:val="000000"/>
          <w:sz w:val="20"/>
        </w:rPr>
        <w:t>ee Note 14 to our consolidated financial statements included in this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addition to our results prepared in accordance with GAAP, we believe non-GAAP gross profit and non-GAAP gross margin (in total and for platform and professional services and other), non-GAAP sales and marketing expense, non-GAAP research and development expense, non-GAAP general and administrative expense, non-GAAP income (loss) from operations, non-GAAP operating margin, and non-GAAP net income (loss) are useful in evaluating our operating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For the reasons set forth below, we believe that excluding the following items provides information that is helpful in understanding our results of operations, evaluating our future prospects, comparing our financial results across accounting periods, and comparing our financial results to our peers, many of which provide similar non-GAAP financial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Stock-based compensation expense and related employer payroll taxes</w:t>
      </w:r>
      <w:r>
        <w:rPr>
          <w:rFonts w:ascii="Times New Roman" w:hAnsi="Times New Roman"/>
          <w:color w:val="000000"/>
          <w:sz w:val="20"/>
        </w:rPr>
        <w:t xml:space="preserve">. </w:t>
      </w:r>
      <w:r>
        <w:rPr>
          <w:rFonts w:ascii="Times New Roman" w:hAnsi="Times New Roman"/>
          <w:color w:val="231F20"/>
          <w:sz w:val="20"/>
        </w:rPr>
        <w:t>We exclude stock-based compensation expense, including the performance-based RSU’s granted to our Co-Founders,</w:t>
      </w:r>
      <w:r>
        <w:rPr>
          <w:color w:val="000000"/>
        </w:rPr>
        <w:t xml:space="preserve"> </w:t>
      </w:r>
      <w:r>
        <w:rPr>
          <w:rFonts w:ascii="Times New Roman" w:hAnsi="Times New Roman"/>
          <w:color w:val="231F20"/>
          <w:sz w:val="20"/>
        </w:rPr>
        <w:t>and related employer payroll taxes to allow investors to make more meaningful comparisons of our performance between periods and to facilitate a comparison of our performance to those of other peer companies. Stock-based compensation expense may vary between periods due to various factors unrelated to our core performance, including as a result of the assumptions used in the valuation methodologies, timing and amount of grants, the completion of our IPO, and other factors. We exclude employer payroll taxes because the amounts vary based on timing and settlement or vesting of awards unrelated to our core operating performance. Moreover, stock-based compensation expense is a non-cash expense that we exclude from our internal management reporting processes and when assessing our actual performance, budgeting, planning, and forecasting future periods.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Amortization of acquired intangible assets</w:t>
      </w:r>
      <w:r>
        <w:rPr>
          <w:rFonts w:ascii="Times New Roman" w:hAnsi="Times New Roman"/>
          <w:color w:val="000000"/>
          <w:sz w:val="20"/>
        </w:rPr>
        <w:t xml:space="preserve">. </w:t>
      </w:r>
      <w:r>
        <w:rPr>
          <w:rFonts w:ascii="Times New Roman" w:hAnsi="Times New Roman"/>
          <w:color w:val="231F20"/>
          <w:sz w:val="20"/>
        </w:rPr>
        <w:t>We incur amortization expense for acquired intangible assets in connection with acquisitions of certain businesses and technologies. Amortization of acquired intangible assets is a non-cash expense that is significantly affected by the timing and size of acquisitions, and the inherent subjective nature of purchase price allocations. Because these costs have already been incurred, we exclude the amortization expense from our internal management reporting processes. We exclude these charges when assessing our actual performance and when budgeting, planning, and forecasting future periods. Investors should note that the use of intangible assets contributed to our revenues earned during the periods presented and will contribute to our future period revenues as well.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Restructuring charges</w:t>
      </w:r>
      <w:r>
        <w:rPr>
          <w:rFonts w:ascii="Times New Roman" w:hAnsi="Times New Roman"/>
          <w:color w:val="000000"/>
          <w:sz w:val="20"/>
        </w:rPr>
        <w:t xml:space="preserve">. </w:t>
      </w:r>
      <w:r>
        <w:rPr>
          <w:rFonts w:ascii="Times New Roman" w:hAnsi="Times New Roman"/>
          <w:color w:val="231F20"/>
          <w:sz w:val="20"/>
        </w:rPr>
        <w:t>To better align our strategic priorities with our investments, we implemented workforce reductions in fiscal 2024 and fiscal 2025. In connection with these reductions, we incurred employee-related expenses including severance and other termination benefits. We excluded these charges when assessing our actual performance and when budgeting, planning and forecasting future periods.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Loss on operating lease assets</w:t>
      </w:r>
      <w:r>
        <w:rPr>
          <w:rFonts w:ascii="Times New Roman" w:hAnsi="Times New Roman"/>
          <w:color w:val="000000"/>
          <w:sz w:val="20"/>
        </w:rPr>
        <w:t>.</w:t>
      </w:r>
      <w:r>
        <w:rPr>
          <w:color w:val="231F20"/>
        </w:rPr>
        <w:t xml:space="preserve"> </w:t>
      </w:r>
      <w:r>
        <w:rPr>
          <w:rFonts w:ascii="Times New Roman" w:hAnsi="Times New Roman"/>
          <w:color w:val="231F20"/>
          <w:sz w:val="20"/>
        </w:rPr>
        <w:t>In fiscal 2024, fiscal 2025 and fiscal 2026, we incurred impairments on certain right-of-use assets and other long-lived assets. See Note 4 of our audited consolidated financial statements included in this Annual Report. We believe that it is useful to exclude these charges when assessing the level of various operating expenses and resource allocations when budgeting, planning and forecasting future periods. In addition, we believe excluding such costs enhances the comparability between periods.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Acquisition-related items</w:t>
      </w:r>
      <w:r>
        <w:rPr>
          <w:rFonts w:ascii="Times New Roman" w:hAnsi="Times New Roman"/>
          <w:color w:val="000000"/>
          <w:sz w:val="20"/>
        </w:rPr>
        <w:t xml:space="preserve">. </w:t>
      </w:r>
      <w:r>
        <w:rPr>
          <w:rFonts w:ascii="Times New Roman" w:hAnsi="Times New Roman"/>
          <w:color w:val="231F20"/>
          <w:sz w:val="20"/>
        </w:rPr>
        <w:t>We have incurred costs related to acquisitions, including legal, third-party valuation and due diligence, insurance costs, and one-time retention bonuses for employees of acquired companies. In addition, we periodically record the change to the fair value of contingent consideration related to past acquisitions. We exclude these items when assessing our actual performance and when budgeting, planning and forecasting future periods. We believe excluding these items allows investors to make meaningful comparisons between our core results of operations and those of other peer companies.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These measures, however, have certain limitations in that they reflect the exercise of judgment by our management about which expenses are excluded or included and do not include the impact of certain expenses that are reflected in our consolidated statement of operations that are necessary to run our business. These non-GAAP financial measures should be considered in addition to, not as a substitute for or in isolation from, our financial results determined in accordance with GAAP. We caution investors that amounts presented in accordance with our definition of non-GAAP gross profit, non-GAAP gross margin, non-GAAP sales and marketing expense, non-GAAP research and development expense, non-GAAP general and administrative expense, non-GAAP income (loss) from operations, non-GAAP operating margin, and non-GAAP net income (loss) may not be comparable to similar measures disclosed by other companies because not all companies and analysts calculate these non-GAAP financial measures in the same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Non-GAAP Gross Profit and Non-GAAP Gross Margin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non-GAAP gross profit and non-GAAP gross margin as GAAP gross profit and GAAP gross margin, respectively, excluding stock-based compensation expense and related employer payroll taxes, amortization of acquired intangible assets, restructuring charges, and loss on operating lease assets. Total non-GAAP gross margin represents total non-GAAP gross profit as a percentage of total revenue. Non-GAAP platform gross margin represents non-GAAP platform gross profit as a percentage of platform revenue and non-GAAP professional services and other gross margin represents non-GAAP professional services and other gross profit as a percentage of professional services and other revenue.</w:t>
      </w:r>
    </w:p>
    <w:p>
      <w:pPr>
        <w:pStyle w:val="TextBody"/>
        <w:bidi w:val="0"/>
        <w:spacing w:before="240" w:after="283"/>
        <w:jc w:val="both"/>
        <w:rPr>
          <w:rFonts w:ascii="Times New Roman" w:hAnsi="Times New Roman"/>
          <w:sz w:val="20"/>
        </w:rPr>
      </w:pPr>
      <w:r>
        <w:rPr>
          <w:rFonts w:ascii="Times New Roman" w:hAnsi="Times New Roman"/>
          <w:color w:val="231F20"/>
          <w:sz w:val="20"/>
        </w:rPr>
        <w:t>The following table reflects the reconciliation of GAAP gross profit to non-GAAP gross profit and GAAP gross margin to non-GAAP gross margin for the periods presen</w:t>
      </w:r>
      <w:r>
        <w:rPr>
          <w:rFonts w:ascii="Times New Roman" w:hAnsi="Times New Roman"/>
          <w:color w:val="000000"/>
          <w:sz w:val="20"/>
        </w:rPr>
        <w:t>ted:</w:t>
      </w:r>
    </w:p>
    <w:p>
      <w:pPr>
        <w:pStyle w:val="TextBody"/>
        <w:bidi w:val="0"/>
        <w:jc w:val="both"/>
        <w:rPr/>
      </w:pPr>
      <w:r>
        <w:rPr/>
        <w:t> </w:t>
      </w:r>
    </w:p>
    <w:tbl>
      <w:tblPr>
        <w:tblW w:w="10155" w:type="dxa"/>
        <w:jc w:val="left"/>
        <w:tblInd w:w="0" w:type="dxa"/>
        <w:tblLayout w:type="fixed"/>
        <w:tblCellMar>
          <w:top w:w="28" w:type="dxa"/>
          <w:left w:w="28" w:type="dxa"/>
          <w:bottom w:w="28" w:type="dxa"/>
          <w:right w:w="28" w:type="dxa"/>
        </w:tblCellMar>
      </w:tblPr>
      <w:tblGrid>
        <w:gridCol w:w="2856"/>
        <w:gridCol w:w="146"/>
        <w:gridCol w:w="196"/>
        <w:gridCol w:w="691"/>
        <w:gridCol w:w="146"/>
        <w:gridCol w:w="146"/>
        <w:gridCol w:w="196"/>
        <w:gridCol w:w="691"/>
        <w:gridCol w:w="146"/>
        <w:gridCol w:w="146"/>
        <w:gridCol w:w="196"/>
        <w:gridCol w:w="661"/>
        <w:gridCol w:w="166"/>
        <w:gridCol w:w="146"/>
        <w:gridCol w:w="196"/>
        <w:gridCol w:w="661"/>
        <w:gridCol w:w="166"/>
        <w:gridCol w:w="146"/>
        <w:gridCol w:w="196"/>
        <w:gridCol w:w="691"/>
        <w:gridCol w:w="146"/>
        <w:gridCol w:w="146"/>
        <w:gridCol w:w="196"/>
        <w:gridCol w:w="69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Professional </w:t>
              <w:br/>
              <w:t>Services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543,259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45" w:type="dxa"/>
        <w:jc w:val="left"/>
        <w:tblInd w:w="0" w:type="dxa"/>
        <w:tblLayout w:type="fixed"/>
        <w:tblCellMar>
          <w:top w:w="28" w:type="dxa"/>
          <w:left w:w="28" w:type="dxa"/>
          <w:bottom w:w="28" w:type="dxa"/>
          <w:right w:w="28" w:type="dxa"/>
        </w:tblCellMar>
      </w:tblPr>
      <w:tblGrid>
        <w:gridCol w:w="2856"/>
        <w:gridCol w:w="146"/>
        <w:gridCol w:w="146"/>
        <w:gridCol w:w="421"/>
        <w:gridCol w:w="241"/>
        <w:gridCol w:w="146"/>
        <w:gridCol w:w="146"/>
        <w:gridCol w:w="421"/>
        <w:gridCol w:w="241"/>
        <w:gridCol w:w="146"/>
        <w:gridCol w:w="146"/>
        <w:gridCol w:w="571"/>
        <w:gridCol w:w="301"/>
        <w:gridCol w:w="146"/>
        <w:gridCol w:w="146"/>
        <w:gridCol w:w="571"/>
        <w:gridCol w:w="301"/>
        <w:gridCol w:w="146"/>
        <w:gridCol w:w="146"/>
        <w:gridCol w:w="421"/>
        <w:gridCol w:w="241"/>
        <w:gridCol w:w="146"/>
        <w:gridCol w:w="146"/>
        <w:gridCol w:w="421"/>
        <w:gridCol w:w="486"/>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Platform</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Professional </w:t>
              <w:br/>
              <w:t>Services and Other</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Non-GAAP gross margin </w:t>
            </w: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4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6"/>
        </w:rPr>
        <w:t>Totals may not foot due to rounding.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Sales and Marketing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sales and marketing expense as GAAP sales and marketing expense excluding stock-based compensation expense and related employer payroll taxes, amortization of acquired intangible assets, restructuring charges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sales and marketing expense to non-GAAP sales and marketing expense for the periods presented:</w:t>
      </w:r>
    </w:p>
    <w:p>
      <w:pPr>
        <w:pStyle w:val="TextBody"/>
        <w:bidi w:val="0"/>
        <w:jc w:val="both"/>
        <w:rPr/>
      </w:pPr>
      <w:r>
        <w:rPr/>
        <w:t> </w:t>
      </w:r>
    </w:p>
    <w:tbl>
      <w:tblPr>
        <w:tblW w:w="5874" w:type="dxa"/>
        <w:jc w:val="left"/>
        <w:tblInd w:w="0" w:type="dxa"/>
        <w:tblLayout w:type="fixed"/>
        <w:tblCellMar>
          <w:top w:w="28" w:type="dxa"/>
          <w:left w:w="28" w:type="dxa"/>
          <w:bottom w:w="28" w:type="dxa"/>
          <w:right w:w="28" w:type="dxa"/>
        </w:tblCellMar>
      </w:tblPr>
      <w:tblGrid>
        <w:gridCol w:w="3231"/>
        <w:gridCol w:w="146"/>
        <w:gridCol w:w="196"/>
        <w:gridCol w:w="691"/>
        <w:gridCol w:w="166"/>
        <w:gridCol w:w="146"/>
        <w:gridCol w:w="196"/>
        <w:gridCol w:w="691"/>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sales and 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Research and Development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research and development expense as GAAP research and development expense excluding stock-based compensation expense and related employer payroll taxes, acquisition-related items, restructuring charges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research and development expense to non-GAAP research and development expense for the periods presented:</w:t>
      </w:r>
    </w:p>
    <w:p>
      <w:pPr>
        <w:pStyle w:val="TextBody"/>
        <w:bidi w:val="0"/>
        <w:jc w:val="both"/>
        <w:rPr/>
      </w:pPr>
      <w:r>
        <w:rPr/>
        <w:t> </w:t>
      </w:r>
    </w:p>
    <w:tbl>
      <w:tblPr>
        <w:tblW w:w="6034" w:type="dxa"/>
        <w:jc w:val="left"/>
        <w:tblInd w:w="0" w:type="dxa"/>
        <w:tblLayout w:type="fixed"/>
        <w:tblCellMar>
          <w:top w:w="28" w:type="dxa"/>
          <w:left w:w="28" w:type="dxa"/>
          <w:bottom w:w="28" w:type="dxa"/>
          <w:right w:w="28" w:type="dxa"/>
        </w:tblCellMar>
      </w:tblPr>
      <w:tblGrid>
        <w:gridCol w:w="3391"/>
        <w:gridCol w:w="146"/>
        <w:gridCol w:w="196"/>
        <w:gridCol w:w="691"/>
        <w:gridCol w:w="166"/>
        <w:gridCol w:w="146"/>
        <w:gridCol w:w="196"/>
        <w:gridCol w:w="691"/>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Acquisition-related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general and administrative expense as GAAP general and administrative expense excluding stock-based compensation expense and related employer payroll taxes, acquisition-related items, restructuring charges, and loss on operating lease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general and administrative expense to non-GAAP general and administrative expense for the periods presented:</w:t>
      </w:r>
    </w:p>
    <w:p>
      <w:pPr>
        <w:pStyle w:val="TextBody"/>
        <w:bidi w:val="0"/>
        <w:jc w:val="both"/>
        <w:rPr/>
      </w:pPr>
      <w:r>
        <w:rPr/>
        <w:t> </w:t>
      </w:r>
    </w:p>
    <w:tbl>
      <w:tblPr>
        <w:tblW w:w="6049" w:type="dxa"/>
        <w:jc w:val="left"/>
        <w:tblInd w:w="0" w:type="dxa"/>
        <w:tblLayout w:type="fixed"/>
        <w:tblCellMar>
          <w:top w:w="28" w:type="dxa"/>
          <w:left w:w="28" w:type="dxa"/>
          <w:bottom w:w="28" w:type="dxa"/>
          <w:right w:w="28" w:type="dxa"/>
        </w:tblCellMar>
      </w:tblPr>
      <w:tblGrid>
        <w:gridCol w:w="3406"/>
        <w:gridCol w:w="146"/>
        <w:gridCol w:w="196"/>
        <w:gridCol w:w="691"/>
        <w:gridCol w:w="166"/>
        <w:gridCol w:w="146"/>
        <w:gridCol w:w="196"/>
        <w:gridCol w:w="691"/>
        <w:gridCol w:w="4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br/>
              <w:t>   and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Stock-based compensation expense -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Acquisition-related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Non-GAAP Income from Operations and Non-GAAP Operating Margin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non-GAAP income (loss) from operations and non-GAAP operating margin as GAAP loss from operations and GAAP operating margin, respectively, excluding stock-based compensation expense and related employer payroll taxes, amortization of acquired intangible assets, restructuring charges, acquisition-related items, and loss on operating lease assets. Non-GAAP operating margin represents non-GAAP income (loss) from operations as a percentage of total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the reconciliation of GAAP loss from operations to non-GAAP income (loss) from operations and GAAP operating margin to non-GAAP operating margin for the periods presented:</w:t>
      </w:r>
    </w:p>
    <w:p>
      <w:pPr>
        <w:pStyle w:val="TextBody"/>
        <w:bidi w:val="0"/>
        <w:jc w:val="left"/>
        <w:rPr/>
      </w:pPr>
      <w:r>
        <w:rPr/>
        <w:t> </w:t>
      </w:r>
    </w:p>
    <w:tbl>
      <w:tblPr>
        <w:tblW w:w="5994" w:type="dxa"/>
        <w:jc w:val="left"/>
        <w:tblInd w:w="0" w:type="dxa"/>
        <w:tblLayout w:type="fixed"/>
        <w:tblCellMar>
          <w:top w:w="28" w:type="dxa"/>
          <w:left w:w="28" w:type="dxa"/>
          <w:bottom w:w="28" w:type="dxa"/>
          <w:right w:w="28" w:type="dxa"/>
        </w:tblCellMar>
      </w:tblPr>
      <w:tblGrid>
        <w:gridCol w:w="3231"/>
        <w:gridCol w:w="146"/>
        <w:gridCol w:w="196"/>
        <w:gridCol w:w="751"/>
        <w:gridCol w:w="166"/>
        <w:gridCol w:w="146"/>
        <w:gridCol w:w="196"/>
        <w:gridCol w:w="751"/>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Stock-based compensation expense -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Acquisition-related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624" w:type="dxa"/>
        <w:jc w:val="left"/>
        <w:tblInd w:w="0" w:type="dxa"/>
        <w:tblLayout w:type="fixed"/>
        <w:tblCellMar>
          <w:top w:w="28" w:type="dxa"/>
          <w:left w:w="28" w:type="dxa"/>
          <w:bottom w:w="28" w:type="dxa"/>
          <w:right w:w="28" w:type="dxa"/>
        </w:tblCellMar>
      </w:tblPr>
      <w:tblGrid>
        <w:gridCol w:w="3231"/>
        <w:gridCol w:w="146"/>
        <w:gridCol w:w="146"/>
        <w:gridCol w:w="481"/>
        <w:gridCol w:w="301"/>
        <w:gridCol w:w="146"/>
        <w:gridCol w:w="146"/>
        <w:gridCol w:w="481"/>
        <w:gridCol w:w="546"/>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Stock-based compensation expense -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Acquisition-related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Non-GAAP operating margin </w:t>
            </w: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Totals may not foot due to rounding.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Non-GAAP Net Income</w:t>
      </w:r>
    </w:p>
    <w:p>
      <w:pPr>
        <w:pStyle w:val="TextBody"/>
        <w:bidi w:val="0"/>
        <w:spacing w:before="120" w:after="283"/>
        <w:jc w:val="both"/>
        <w:rPr>
          <w:rFonts w:ascii="Times New Roman" w:hAnsi="Times New Roman"/>
          <w:sz w:val="20"/>
        </w:rPr>
      </w:pPr>
      <w:r>
        <w:rPr>
          <w:rFonts w:ascii="Times New Roman" w:hAnsi="Times New Roman"/>
          <w:color w:val="000000"/>
          <w:sz w:val="20"/>
        </w:rPr>
        <w:t>We define non-GAAP net income (loss) as GAAP net loss, excluding stock-based compensation expense and related employ</w:t>
      </w:r>
      <w:r>
        <w:rPr>
          <w:rFonts w:ascii="Times New Roman" w:hAnsi="Times New Roman"/>
          <w:color w:val="231F20"/>
          <w:sz w:val="20"/>
        </w:rPr>
        <w:t xml:space="preserve">er payroll taxes, amortization of acquired intangible assets, restructuring charges, acquisition-related items, and loss on operating lease assets, adjusted for the income tax effects on the difference between GAAP and non-GAAP expenses. </w:t>
      </w:r>
    </w:p>
    <w:p>
      <w:pPr>
        <w:pStyle w:val="TextBody"/>
        <w:bidi w:val="0"/>
        <w:jc w:val="both"/>
        <w:rPr/>
      </w:pPr>
      <w:r>
        <w:rPr/>
        <w:t> </w:t>
      </w:r>
    </w:p>
    <w:tbl>
      <w:tblPr>
        <w:tblW w:w="5994" w:type="dxa"/>
        <w:jc w:val="left"/>
        <w:tblInd w:w="0" w:type="dxa"/>
        <w:tblLayout w:type="fixed"/>
        <w:tblCellMar>
          <w:top w:w="28" w:type="dxa"/>
          <w:left w:w="28" w:type="dxa"/>
          <w:bottom w:w="28" w:type="dxa"/>
          <w:right w:w="28" w:type="dxa"/>
        </w:tblCellMar>
      </w:tblPr>
      <w:tblGrid>
        <w:gridCol w:w="3231"/>
        <w:gridCol w:w="146"/>
        <w:gridCol w:w="196"/>
        <w:gridCol w:w="751"/>
        <w:gridCol w:w="166"/>
        <w:gridCol w:w="146"/>
        <w:gridCol w:w="196"/>
        <w:gridCol w:w="751"/>
        <w:gridCol w:w="41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GAAP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 and</w:t>
              <w:br/>
              <w:t>   related employer payroll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Stock-based compensation expense - </w:t>
              <w:br/>
              <w:t>   Co-Founders performance 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Acquisition-related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Income tax effects related to the above</w:t>
              <w:br/>
              <w:t xml:space="preserve">   adjustments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i/>
          <w:color w:val="000000"/>
          <w:sz w:val="16"/>
        </w:rPr>
      </w:pPr>
      <w:r>
        <w:rPr>
          <w:rFonts w:ascii="Times New Roman" w:hAnsi="Times New Roman"/>
          <w:i/>
          <w:color w:val="000000"/>
          <w:sz w:val="16"/>
        </w:rPr>
        <w:t>(1)</w:t>
      </w:r>
    </w:p>
    <w:p>
      <w:pPr>
        <w:pStyle w:val="TextBody"/>
        <w:bidi w:val="0"/>
        <w:spacing w:before="40" w:after="283"/>
        <w:jc w:val="both"/>
        <w:rPr/>
      </w:pPr>
      <w:r>
        <w:rPr>
          <w:rFonts w:ascii="Times New Roman" w:hAnsi="Times New Roman"/>
          <w:i/>
          <w:color w:val="000000"/>
          <w:sz w:val="16"/>
        </w:rPr>
        <w:t>This amount represents adjustments for the current and deferred income tax effects on non-GAAP net income for the impact of the non-GAAP adjustments above</w:t>
      </w:r>
      <w:r>
        <w:rPr>
          <w:rFonts w:ascii="Times New Roman" w:hAnsi="Times New Roman"/>
          <w:i/>
          <w:color w:val="222222"/>
          <w:sz w:val="16"/>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define free cash flow, a non-GAAP measure, as net cash provided by (used in) operating activities less cash used for investing activities for capitalized internal use software and less cash paid for purchases of, and deposits for, property and equipment. We believe that free cash flow is a meaningful indicator of our sources of liquidity and capital requirements that provides information to management and investors in evaluating the cash flow trends of our business. Once our business needs and obligations are met, cash can be used to maintain a strong balance sheet and invest in future growth. Free cash flow has limitations as an analytical tool and should not be considered in isolation or as a substitute for analysis of our results as reported under GAAP. Other companies may calculate free cash flow or similarly titled non-GAAP measures differently, which could reduce the usefulness of free cash flow as a tool for comparison. In addition, free cash flow does not reflect mandatory debt service and other non-discretionary expenditures that are required to be made under contractual commitments and does not represent the total increase or decrease in our cash balance for any given period.</w:t>
      </w:r>
    </w:p>
    <w:p>
      <w:pPr>
        <w:pStyle w:val="TextBody"/>
        <w:bidi w:val="0"/>
        <w:jc w:val="both"/>
        <w:rPr/>
      </w:pPr>
      <w:r>
        <w:rPr/>
        <w:t> </w:t>
      </w:r>
    </w:p>
    <w:tbl>
      <w:tblPr>
        <w:tblW w:w="5569" w:type="dxa"/>
        <w:jc w:val="left"/>
        <w:tblInd w:w="0" w:type="dxa"/>
        <w:tblLayout w:type="fixed"/>
        <w:tblCellMar>
          <w:top w:w="28" w:type="dxa"/>
          <w:left w:w="28" w:type="dxa"/>
          <w:bottom w:w="28" w:type="dxa"/>
          <w:right w:w="28" w:type="dxa"/>
        </w:tblCellMar>
      </w:tblPr>
      <w:tblGrid>
        <w:gridCol w:w="2956"/>
        <w:gridCol w:w="146"/>
        <w:gridCol w:w="196"/>
        <w:gridCol w:w="691"/>
        <w:gridCol w:w="166"/>
        <w:gridCol w:w="146"/>
        <w:gridCol w:w="196"/>
        <w:gridCol w:w="661"/>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Deposits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Non-GAAP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231F20"/>
          <w:sz w:val="20"/>
        </w:rPr>
      </w:pPr>
      <w:r>
        <w:rPr>
          <w:rFonts w:ascii="Times New Roman" w:hAnsi="Times New Roman"/>
          <w:b/>
          <w:color w:val="231F20"/>
          <w:sz w:val="20"/>
        </w:rPr>
        <w:t>Liquidity and Capital Resources</w:t>
      </w:r>
    </w:p>
    <w:p>
      <w:pPr>
        <w:pStyle w:val="TextBody"/>
        <w:bidi w:val="0"/>
        <w:spacing w:before="120" w:after="283"/>
        <w:jc w:val="both"/>
        <w:rPr>
          <w:rFonts w:ascii="Times New Roman" w:hAnsi="Times New Roman"/>
          <w:sz w:val="20"/>
        </w:rPr>
      </w:pPr>
      <w:r>
        <w:rPr>
          <w:rFonts w:ascii="Times New Roman" w:hAnsi="Times New Roman"/>
          <w:color w:val="231F20"/>
          <w:sz w:val="20"/>
        </w:rPr>
        <w:t>As of January 31, 2026, we had cash and cash equivalents of $428.8 million, which excludes restricted cash of $0.6 million, and $250.0 million available under the Amended Credit Agreement, as defined below. Cash and cash equivalents consisted of checking accounts and money market funds with maturities less than 90 days from the date of purchase. Our liquidity is subject to various risks including the risks set forth in the section titled “</w:t>
      </w:r>
      <w:r>
        <w:rPr>
          <w:rFonts w:ascii="Times New Roman" w:hAnsi="Times New Roman"/>
          <w:i/>
          <w:color w:val="231F20"/>
          <w:sz w:val="20"/>
        </w:rPr>
        <w:t>Risk Factors</w:t>
      </w:r>
      <w:r>
        <w:rPr>
          <w:rFonts w:ascii="Times New Roman" w:hAnsi="Times New Roman"/>
          <w:color w:val="231F20"/>
          <w:sz w:val="20"/>
        </w:rPr>
        <w:t>” and the market risks identified in the section titled “</w:t>
      </w:r>
      <w:r>
        <w:rPr>
          <w:rFonts w:ascii="Times New Roman" w:hAnsi="Times New Roman"/>
          <w:i/>
          <w:color w:val="231F20"/>
          <w:sz w:val="20"/>
        </w:rPr>
        <w:t>Quantitative and Qualitative Disclosures about Market Risk</w:t>
      </w:r>
      <w:r>
        <w:rPr>
          <w:rFonts w:ascii="Times New Roman" w:hAnsi="Times New Roman"/>
          <w:color w:val="231F20"/>
          <w:sz w:val="20"/>
        </w:rPr>
        <w: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Our primary cash needs are for personnel-related expenses, costs related to the provisioning of our platform services, and marketing expenses. The first quarter of our fiscal year is typically the largest operating cash outflow quarter due to the payout of our annual bonuses.</w:t>
      </w:r>
    </w:p>
    <w:p>
      <w:pPr>
        <w:pStyle w:val="TextBody"/>
        <w:bidi w:val="0"/>
        <w:spacing w:before="240" w:after="283"/>
        <w:jc w:val="both"/>
        <w:rPr>
          <w:rFonts w:ascii="Times New Roman" w:hAnsi="Times New Roman"/>
          <w:sz w:val="20"/>
        </w:rPr>
      </w:pPr>
      <w:r>
        <w:rPr>
          <w:rFonts w:ascii="Times New Roman" w:hAnsi="Times New Roman"/>
          <w:color w:val="231F20"/>
          <w:sz w:val="20"/>
        </w:rPr>
        <w:t>We believe that our existing cash and cash equivalents, cash available under our Amended Credit Agreement, and cash receipts from our revenue arrangements will be sufficient to support working capital, operating lease payments and capital expenditure requirements for at least 12 months from the date of this Annual Report. Our future capital requirements and the adequacy of available funds will depend on many factors, including those set forth in the section titled “</w:t>
      </w:r>
      <w:r>
        <w:rPr>
          <w:rFonts w:ascii="Times New Roman" w:hAnsi="Times New Roman"/>
          <w:i/>
          <w:color w:val="231F20"/>
          <w:sz w:val="20"/>
        </w:rPr>
        <w:t>Risk Factors</w:t>
      </w:r>
      <w:r>
        <w:rPr>
          <w:rFonts w:ascii="Times New Roman" w:hAnsi="Times New Roman"/>
          <w:color w:val="231F20"/>
          <w:sz w:val="20"/>
        </w:rPr>
        <w:t>.” Further, in the future we may enter into arrangements to acquire or invest in businesses, products, services and technologies.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could be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Credit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we entered into a secured credit agreement (the “Original Credit Agreement”) with Wells Fargo Bank N.A., as administrative agent and collateral agent, and certain lenders. In September 2024, we amended the Original Credit Agreement (the “First Amendment”) to, among other things, convert our existing term loan to a new term loan balance and a revolving credit facility. On January 30, 2026, we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and extended the term of the Amended Credit Agreement through January 30, 2031.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negative covenants, including liens, indebtedness, investments, dispositions, restricted payments and restricted debt payments, to provide us with more flexibility thereunder. Prior to entering into the Second Amendment we voluntarily repaid, in full, the approximately $107.0 million term loan that was outstanding under the Original Credit Agreement. As of January 31, 2026, no loans were outstanding under the Amended Credit Agreement.</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Cash Flows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following table summarizes our cashflows for the periods indicated:</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4816"/>
        <w:gridCol w:w="146"/>
        <w:gridCol w:w="146"/>
        <w:gridCol w:w="196"/>
        <w:gridCol w:w="691"/>
        <w:gridCol w:w="166"/>
        <w:gridCol w:w="146"/>
        <w:gridCol w:w="196"/>
        <w:gridCol w:w="691"/>
        <w:gridCol w:w="21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279,713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231F20"/>
          <w:sz w:val="20"/>
        </w:rPr>
      </w:pPr>
      <w:r>
        <w:rPr>
          <w:rFonts w:ascii="Times New Roman" w:hAnsi="Times New Roman"/>
          <w:i/>
          <w:color w:val="231F20"/>
          <w:sz w:val="20"/>
        </w:rPr>
        <w:t>Operating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provided by operating activities was $110.1 million for fiscal 2026. This primarily related to our non-cash charges of $324.9 million, adjusted for our net loss of $159.9 million and net cash outflows of $54.9 million from changes in our operating assets and liabilities. The primary drivers of the changes in our operating assets and liabilities related to an increase in deferred contract costs of $22.4 million, an increase in accounts receivable of $20.8 million due to the increase in revenue, a decrease in operating lease liabilities of $12.0 million, and an increase in contract assets of $11.9 million. These were partially offset by an increase in accounts payable and accrued expenses of $12.1 million and an increase in accrued personnel related expenses of $2.7 million.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provided by operating activities was $37.1 million for fiscal 2025. This primarily related to our non-cash charges of $306.2 million, adjusted for our net loss of $239.1 million and net cash outflows of $30.0 million from changes in our operating assets and liabilities. The primary drivers of the changes in our operating assets and liabilities related to an increase in deferred contract costs of $15.8 million and contract assets of $6.6 million, an increase in accounts receivable of $17.7 million due to the increase in revenue, a decrease in accounts payable and other accrued expenses of $9.0 million due to the payment of deferred offering costs related to our IPO, and a decrease of operating lease liabilities of $9.4 million. These were partially offset by an increase in accrued personnel related expenses of $23.2 million due to an increase in headcount and bonus achievement, an increase in deferred revenue of $3.3 million, and an increase in other liabilities of $2.1 million.</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Investing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used in investing activities was $44.8 million for fiscal 2026. This consisted of cash outflows of $19.9 million for investments in capitalized internal-use software, $19.8 million of cash paid, net of cash acquired, for the acquisition of Conduit, $4.7 million for the purchase of property and equipment, and $0.5 million in deposits for property and equipment.</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used in investing activities was $22.8 million for fiscal 2025. This consisted of cash outflows of $17.8 million for the investments in capitalized internal-use software, $3.8 million for the purchase of property and equipment, and $1.2 million of cash paid, net of cash acquired, for the acquisition of Convex.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231F20"/>
          <w:sz w:val="20"/>
        </w:rPr>
      </w:pPr>
      <w:r>
        <w:rPr>
          <w:rFonts w:ascii="Times New Roman" w:hAnsi="Times New Roman"/>
          <w:i/>
          <w:color w:val="231F20"/>
          <w:sz w:val="20"/>
        </w:rPr>
        <w:t>Financing Activities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Net cash used in financing activities was $78.8 million for fiscal 2026. This consisted primarily of the repayment of debt of approximately $107.0 million, and the payment of deferred offering costs of $0.6 million. These were partially offset by proceeds from the exercise of stock options of $28.8 million.</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Net cash provided by financing activities was $279.7 million for fiscal 2025. This consisted primarily of the net proceeds from our IPO of $674.5 million and $6.7 million of proceeds from the exercise of stock options. These were partially offset by the repayment of our non-convertible preferred stock of $310.6 million, the repayment of debt of $71.6 million, and the repurchase of shares for the tax withholdings upon settlement of RSUs of $19.0 million.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Refer to Note 2 to our audited consolidated financial statements included elsewhere in this Annual Report for recently adopted accounting pronouncements and new accounting pronouncements not yet adopted as of the date of this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and the related notes thereto, which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at the time the estimate is made. Actual results could differ significantly from our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significant accounting policies and methods used in the preparation of our consolidated financial statements are discussed in Note 2 to our consolidated financial statements included in Item 8 of this Annual Report on Form 10-K. The accounting policies described below include accounting estimates that may involve a significant degree of judgment and complexity, and accordingly, we believe these are the most critical to aid in fully understanding and evaluating our consolidated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recognition represents an important accounting policy to the understanding of our financial condition and results of operations. Our revenue recognition may require the use of significant judgment in determining whether services are considered distinct performance obligations that should be accounted for separately and determining estimated standalone selling prices for the purpose of allocating the transaction price to distinct performance obligations. For information regarding our revenue recognition accounting policy, see Note 2 to our audited consolidated financial statements included elsewhere in this Annual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value of our common stock is the primary input used to measure the grant date fair value of our stock-based awards. The common stock value used in determining the grant date fair value of awards granted after our IPO is based on our stock price as reported on the Nasdaq on the date of grant.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Determining the fair value of assets acquired and liabilities assumed requires management to make judgments and estimates, including the selection of valuation methodologies, assumptions used in revenue, cost and cash flow forecasts and selection of comparable companies. We engage the assistance of valuation specialists in concluding on fair value measurements in connection with determining fair values of assets acquired and liabilities assumed in business combinations. While we use our best estimates and judgments, estimates are inherently uncertain and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refinement. The valuation of intangible assets, primarily customer relationships and developed technology, includes estimates that are critical accounting estimates. These critical estimates are primarily those relating to forecasted growth rates, customer retention rates and obsolescence rates of acquired technology. We base these estimates using information available regarding historical trends and future industry conditions and macroeconomic events, and judgments regarding the replacement and obsolescence of acquired technologies, among other factors.</w:t>
      </w:r>
    </w:p>
    <w:p>
      <w:pPr>
        <w:pStyle w:val="TextBody"/>
        <w:bidi w:val="0"/>
        <w:spacing w:before="360" w:after="283"/>
        <w:jc w:val="both"/>
        <w:rPr>
          <w:rFonts w:ascii="Times New Roman" w:hAnsi="Times New Roman"/>
          <w:b/>
          <w:color w:val="000000"/>
          <w:sz w:val="20"/>
        </w:rPr>
      </w:pPr>
      <w:bookmarkStart w:id="14" w:name="item_7a_quantitative_and_qualitative"/>
      <w:bookmarkEnd w:id="14"/>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We have operations both within the United States and internationally, and we are exposed to market risk in the ordinary course of our business.</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Interest Rate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As of January 31, 2026, we had cash and cash equivalents of $428.8 million, which excludes restricted cash of $0.6 million. Our cash and cash equivalents are held for working capital purposes. We do not enter into investments for trading or speculative purposes. Due to the short-term nature of our investments, we have not been exposed to, nor do we anticipate being exposed to, material risks due to changes in interest rates.</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Our exposures to market risk for changes in interest rates relate primarily to the Amended Credit Agreement (described above), which bears floating interest rates that, in a rising interest rate environment, could increase the amount of interest paid on future amounts we may borrow under the Amended Credit Agreement. </w:t>
      </w:r>
    </w:p>
    <w:p>
      <w:pPr>
        <w:pStyle w:val="TextBody"/>
        <w:bidi w:val="0"/>
        <w:spacing w:before="360" w:after="283"/>
        <w:jc w:val="both"/>
        <w:rPr>
          <w:rFonts w:ascii="Times New Roman" w:hAnsi="Times New Roman"/>
          <w:b/>
          <w:i/>
          <w:color w:val="231F20"/>
          <w:sz w:val="20"/>
        </w:rPr>
      </w:pPr>
      <w:r>
        <w:rPr>
          <w:rFonts w:ascii="Times New Roman" w:hAnsi="Times New Roman"/>
          <w:b/>
          <w:i/>
          <w:color w:val="231F20"/>
          <w:sz w:val="20"/>
        </w:rPr>
        <w:t>Foreign Currency 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 vast majority of our cash generated from revenue is denominated in U.S. dollars, with a small amount denominated in Canadian dollars. Our expenses are generally denominated in the currencies of the jurisdictions in which we conduct our operations, which are primarily in the United States, Armenia and Canada. Our results of operations and cash flows are, therefore, subject to fluctuations due to changes in foreign currency exchange rates. The effect of a hypothetical 10% change in foreign currency exchange rates applicable to our business would not have had a material impact on our consolidated financial statements in fiscal 2026.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360" w:after="283"/>
        <w:jc w:val="both"/>
        <w:rPr>
          <w:rFonts w:ascii="Times New Roman" w:hAnsi="Times New Roman"/>
          <w:sz w:val="20"/>
        </w:rPr>
      </w:pPr>
      <w:r>
        <w:rPr>
          <w:rFonts w:ascii="Times New Roman" w:hAnsi="Times New Roman"/>
          <w:b/>
          <w:i/>
          <w:color w:val="000000"/>
          <w:sz w:val="20"/>
        </w:rPr>
        <w:t>Inflation</w:t>
      </w:r>
      <w:r>
        <w:rPr>
          <w:rFonts w:ascii="Times New Roman" w:hAnsi="Times New Roman"/>
          <w:color w:val="231F20"/>
          <w:sz w:val="20"/>
        </w:rPr>
        <w:t xml:space="preserve"> </w:t>
      </w:r>
      <w:r>
        <w:rPr>
          <w:rFonts w:ascii="Times New Roman" w:hAnsi="Times New Roman"/>
          <w:b/>
          <w:i/>
          <w:color w:val="231F20"/>
          <w:sz w:val="20"/>
        </w:rPr>
        <w:t>Risk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5" w:name="part_ii_item_8"/>
      <w:bookmarkEnd w:id="15"/>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238)</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w:t>
              </w:r>
            </w:hyperlink>
            <w:hyperlink w:anchor="condensed_consolidated_balance_sheets">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e">
              <w:r>
                <w:rPr>
                  <w:rStyle w:val="InternetLink"/>
                  <w:rFonts w:ascii="Times New Roman" w:hAnsi="Times New Roman"/>
                  <w:color w:val="0000FF"/>
                  <w:sz w:val="20"/>
                  <w:u w:val="single"/>
                </w:rPr>
                <w:t>Consolidated Statements of Operations</w:t>
              </w:r>
            </w:hyperlink>
            <w:hyperlink w:anchor="condensed_consolidated_statements_of_ope">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s_equity">
              <w:r>
                <w:rPr>
                  <w:rStyle w:val="InternetLink"/>
                  <w:rFonts w:ascii="Times New Roman" w:hAnsi="Times New Roman"/>
                  <w:color w:val="0000FF"/>
                  <w:sz w:val="20"/>
                  <w:u w:val="single"/>
                </w:rPr>
                <w:t>Consolidated Statements of Non-convertible Preferred Stock, Redeemable Convertible Preferred Stock, and Stockholders’ Equity (Deficit)</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Consolidated Statements of Cash Flows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_financial_statements">
              <w:r>
                <w:rPr>
                  <w:rStyle w:val="InternetLink"/>
                  <w:rFonts w:ascii="Times New Roman" w:hAnsi="Times New Roman"/>
                  <w:color w:val="0000FF"/>
                  <w:sz w:val="20"/>
                  <w:u w:val="single"/>
                </w:rPr>
                <w:t>Notes to Consolidated Financial Statements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report_of_independent_registered_public"/>
      <w:bookmarkEnd w:id="16"/>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To the Board of Directors and Stockholders of ServiceTitan, Inc.</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We have audited the accompanying consolidated balance sheets of ServiceTitan, Inc. and its subsidiaries (the "Company") as of January 31, 2026 and 2025, and the related consolidated statements of operations, of non-convertible preferred stock, redeemable convertible preferred stock, and stockholders’ equity (deficit)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40" w:after="160"/>
        <w:jc w:val="both"/>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both"/>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Revenue Recognition – Platform Revenue</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As described in Note 2 to the consolidated financial statements, the Company’s platform revenue was $925.4 million for the year ended January 31, 2026. The Company generates revenue primarily from platform services. Platform revenue includes revenue from subscription and usage offerings. The Company primarily enters into either annual or multi-year subscription contracts with customers for access to the Company’s proprietary hosted cloud platforms. Revenue for subscription services is generally recognized ratably over the subscription term, commencing when the customer has access to services. Usage offerings primarily include third-party payment processing or third-party financing services through the Company’s platform. Usage-based fees are recognized as revenue in the month of service.</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principal consideration for our determination that performing procedures relating to revenue recognition is a critical audit matter is a high degree of auditor effort in performing procedures related to the Company’s platform revenue recognition.</w:t>
      </w:r>
    </w:p>
    <w:p>
      <w:pPr>
        <w:pStyle w:val="TextBody"/>
        <w:bidi w:val="0"/>
        <w:jc w:val="both"/>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related to the platform revenue recognition process. These procedures also included, among others, (i) testing revenue recognized for a sample of platform revenue transactions by (a) obtaining and inspecting source documents, such as signed contracts with customers, invoices, and cash receipts and (b) recalculating revenue recognized based on the terms of the related contract; (ii) testing a sample of outstanding customer invoice balances as of January 31, 2026 by obtaining and inspecting source documents, such as signed contracts with customers and cash receipts subsequent to January 31, 2026; and (iii) testing the issuance of a sample of credit memos by obtaining and inspecting source documents, such as credit memos, original invoices, and re-issued invoices.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March 25,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17" w:name="condensed_consolidated_balance_sheets"/>
      <w:bookmarkEnd w:id="17"/>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both"/>
        <w:rPr/>
      </w:pPr>
      <w:r>
        <w:rPr/>
        <w:t> </w:t>
      </w:r>
    </w:p>
    <w:tbl>
      <w:tblPr>
        <w:tblW w:w="8594" w:type="dxa"/>
        <w:jc w:val="left"/>
        <w:tblInd w:w="0" w:type="dxa"/>
        <w:tblLayout w:type="fixed"/>
        <w:tblCellMar>
          <w:top w:w="28" w:type="dxa"/>
          <w:left w:w="28" w:type="dxa"/>
          <w:bottom w:w="28" w:type="dxa"/>
          <w:right w:w="28" w:type="dxa"/>
        </w:tblCellMar>
      </w:tblPr>
      <w:tblGrid>
        <w:gridCol w:w="5661"/>
        <w:gridCol w:w="146"/>
        <w:gridCol w:w="181"/>
        <w:gridCol w:w="766"/>
        <w:gridCol w:w="151"/>
        <w:gridCol w:w="146"/>
        <w:gridCol w:w="181"/>
        <w:gridCol w:w="766"/>
        <w:gridCol w:w="596"/>
      </w:tblGrid>
      <w:tr>
        <w:trPr/>
        <w:tc>
          <w:tcPr>
            <w:tcW w:w="5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January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428,769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441,802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5"/>
              </w:rPr>
              <w:t>Accounts receivable, net of allowance of $11,963</w:t>
            </w:r>
            <w:r>
              <w:rPr>
                <w:rFonts w:ascii="Times New Roman" w:hAnsi="Times New Roman"/>
                <w:color w:val="000000"/>
                <w:sz w:val="20"/>
              </w:rPr>
              <w:t> </w:t>
            </w:r>
            <w:r>
              <w:rPr>
                <w:rFonts w:ascii="Times New Roman" w:hAnsi="Times New Roman"/>
                <w:color w:val="000000"/>
                <w:sz w:val="15"/>
              </w:rPr>
              <w:t>and $4,698</w:t>
            </w:r>
            <w:r>
              <w:rPr>
                <w:rFonts w:ascii="Times New Roman" w:hAnsi="Times New Roman"/>
                <w:color w:val="000000"/>
                <w:sz w:val="20"/>
              </w:rPr>
              <w:t> </w:t>
            </w:r>
            <w:r>
              <w:rPr>
                <w:rFonts w:ascii="Times New Roman" w:hAnsi="Times New Roman"/>
                <w:color w:val="000000"/>
                <w:sz w:val="15"/>
              </w:rPr>
              <w:t>as of January 31, 2026 and</w:t>
              <w:br/>
              <w:t>   January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55,974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44,469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contract costs,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11,554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45,926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24,791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590,858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572,766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Deferred contract costs,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10,608</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56,667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24,025</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Internal-use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35,775</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176,743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214,952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845,836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1,745,057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1,768,648</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40,182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Accrued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80,160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16,803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12,996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153,116</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47,327</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104,014</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314,064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stock, par value $0.001, 100,000,000</w:t>
            </w:r>
            <w:r>
              <w:rPr>
                <w:rFonts w:ascii="Times New Roman" w:hAnsi="Times New Roman"/>
                <w:color w:val="000000"/>
                <w:sz w:val="20"/>
              </w:rPr>
              <w:t> </w:t>
            </w:r>
            <w:r>
              <w:rPr>
                <w:rFonts w:ascii="Times New Roman" w:hAnsi="Times New Roman"/>
                <w:color w:val="000000"/>
                <w:sz w:val="15"/>
              </w:rPr>
              <w:t xml:space="preserve">shares authorized as of January 31, 2026 </w:t>
              <w:br/>
              <w:t>   and 2025, respectively. 0</w:t>
            </w:r>
            <w:r>
              <w:rPr>
                <w:rFonts w:ascii="Times New Roman" w:hAnsi="Times New Roman"/>
                <w:color w:val="000000"/>
                <w:sz w:val="20"/>
              </w:rPr>
              <w:t> </w:t>
            </w:r>
            <w:r>
              <w:rPr>
                <w:rFonts w:ascii="Times New Roman" w:hAnsi="Times New Roman"/>
                <w:color w:val="000000"/>
                <w:sz w:val="15"/>
              </w:rPr>
              <w:t>shares issued and outstanding as of January 31,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common stock, par value $0.001, 1,000,000,000</w:t>
            </w:r>
            <w:r>
              <w:rPr>
                <w:rFonts w:ascii="Times New Roman" w:hAnsi="Times New Roman"/>
                <w:color w:val="000000"/>
                <w:sz w:val="20"/>
              </w:rPr>
              <w:t>  </w:t>
            </w:r>
            <w:r>
              <w:rPr>
                <w:rFonts w:ascii="Times New Roman" w:hAnsi="Times New Roman"/>
                <w:color w:val="000000"/>
                <w:sz w:val="15"/>
              </w:rPr>
              <w:t>shares authorized as of</w:t>
              <w:br/>
              <w:t>   January 31, 2026 and 2025, respectively. 81,956,537</w:t>
            </w:r>
            <w:r>
              <w:rPr>
                <w:rFonts w:ascii="Times New Roman" w:hAnsi="Times New Roman"/>
                <w:color w:val="000000"/>
                <w:sz w:val="20"/>
              </w:rPr>
              <w:t> </w:t>
            </w:r>
            <w:r>
              <w:rPr>
                <w:rFonts w:ascii="Times New Roman" w:hAnsi="Times New Roman"/>
                <w:color w:val="000000"/>
                <w:sz w:val="15"/>
              </w:rPr>
              <w:t>shares and 76,644,240</w:t>
            </w:r>
            <w:r>
              <w:rPr>
                <w:rFonts w:ascii="Times New Roman" w:hAnsi="Times New Roman"/>
                <w:color w:val="000000"/>
                <w:sz w:val="20"/>
              </w:rPr>
              <w:t> </w:t>
            </w:r>
            <w:r>
              <w:rPr>
                <w:rFonts w:ascii="Times New Roman" w:hAnsi="Times New Roman"/>
                <w:color w:val="000000"/>
                <w:sz w:val="15"/>
              </w:rPr>
              <w:t>shares</w:t>
              <w:br/>
              <w:t>   issued and outstanding as of January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common stock, par value $0.001, 100,000,000</w:t>
            </w:r>
            <w:r>
              <w:rPr>
                <w:rFonts w:ascii="Times New Roman" w:hAnsi="Times New Roman"/>
                <w:color w:val="000000"/>
                <w:sz w:val="20"/>
              </w:rPr>
              <w:t> </w:t>
            </w:r>
            <w:r>
              <w:rPr>
                <w:rFonts w:ascii="Times New Roman" w:hAnsi="Times New Roman"/>
                <w:color w:val="000000"/>
                <w:sz w:val="15"/>
              </w:rPr>
              <w:t>shares authorized as of</w:t>
              <w:br/>
              <w:t>   January 31, 2026 and 2025, respectively. 12,644,614</w:t>
            </w:r>
            <w:r>
              <w:rPr>
                <w:rFonts w:ascii="Times New Roman" w:hAnsi="Times New Roman"/>
                <w:color w:val="000000"/>
                <w:sz w:val="20"/>
              </w:rPr>
              <w:t> </w:t>
            </w:r>
            <w:r>
              <w:rPr>
                <w:rFonts w:ascii="Times New Roman" w:hAnsi="Times New Roman"/>
                <w:color w:val="000000"/>
                <w:sz w:val="15"/>
              </w:rPr>
              <w:t>shares and 13,404,097</w:t>
            </w:r>
            <w:r>
              <w:rPr>
                <w:rFonts w:ascii="Times New Roman" w:hAnsi="Times New Roman"/>
                <w:color w:val="000000"/>
                <w:sz w:val="20"/>
              </w:rPr>
              <w:t> </w:t>
            </w:r>
            <w:r>
              <w:rPr>
                <w:rFonts w:ascii="Times New Roman" w:hAnsi="Times New Roman"/>
                <w:color w:val="000000"/>
                <w:sz w:val="15"/>
              </w:rPr>
              <w:t>shares</w:t>
              <w:br/>
              <w:t>   issued and outstanding as of January 31,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 common stock, par value $0.001, 100,000,000</w:t>
            </w:r>
            <w:r>
              <w:rPr>
                <w:rFonts w:ascii="Times New Roman" w:hAnsi="Times New Roman"/>
                <w:color w:val="000000"/>
                <w:sz w:val="20"/>
              </w:rPr>
              <w:t> </w:t>
            </w:r>
            <w:r>
              <w:rPr>
                <w:rFonts w:ascii="Times New Roman" w:hAnsi="Times New Roman"/>
                <w:color w:val="000000"/>
                <w:sz w:val="15"/>
              </w:rPr>
              <w:t>shares authorized as of</w:t>
              <w:br/>
              <w:t>   January 31, 2026 and 2025, respectively. 0</w:t>
            </w:r>
            <w:r>
              <w:rPr>
                <w:rFonts w:ascii="Times New Roman" w:hAnsi="Times New Roman"/>
                <w:color w:val="000000"/>
                <w:sz w:val="20"/>
              </w:rPr>
              <w:t> </w:t>
            </w:r>
            <w:r>
              <w:rPr>
                <w:rFonts w:ascii="Times New Roman" w:hAnsi="Times New Roman"/>
                <w:color w:val="000000"/>
                <w:sz w:val="15"/>
              </w:rPr>
              <w:t>shares</w:t>
              <w:br/>
              <w:t>   issued and outstanding as of January 31,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2,790,722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2,560,224</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(1,265,583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(1,105,730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1,525,234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1,454,584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1,745,057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1,768,648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sz w:val="20"/>
        </w:rPr>
      </w:pPr>
      <w:bookmarkStart w:id="18" w:name="condensed_consolidated_statements_of_ope"/>
      <w:bookmarkEnd w:id="18"/>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both"/>
        <w:rPr/>
      </w:pPr>
      <w:r>
        <w:rPr/>
        <w:t> </w:t>
      </w:r>
    </w:p>
    <w:tbl>
      <w:tblPr>
        <w:tblW w:w="9983" w:type="dxa"/>
        <w:jc w:val="left"/>
        <w:tblInd w:w="0" w:type="dxa"/>
        <w:tblLayout w:type="fixed"/>
        <w:tblCellMar>
          <w:top w:w="28" w:type="dxa"/>
          <w:left w:w="28" w:type="dxa"/>
          <w:bottom w:w="28" w:type="dxa"/>
          <w:right w:w="28" w:type="dxa"/>
        </w:tblCellMar>
      </w:tblPr>
      <w:tblGrid>
        <w:gridCol w:w="5266"/>
        <w:gridCol w:w="346"/>
        <w:gridCol w:w="196"/>
        <w:gridCol w:w="916"/>
        <w:gridCol w:w="166"/>
        <w:gridCol w:w="146"/>
        <w:gridCol w:w="196"/>
        <w:gridCol w:w="916"/>
        <w:gridCol w:w="166"/>
        <w:gridCol w:w="146"/>
        <w:gridCol w:w="196"/>
        <w:gridCol w:w="916"/>
        <w:gridCol w:w="411"/>
      </w:tblGrid>
      <w:tr>
        <w:trPr/>
        <w:tc>
          <w:tcPr>
            <w:tcW w:w="52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614,341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Platform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169,766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Professional services and 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203,534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559,494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(182,864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other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net loss attributable to common stockholders (see Note 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(241,018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used in computing net loss per share,</w:t>
              <w:br/>
              <w:t>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92,378,699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42,148,552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33,267,131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19" w:name="fs_equity"/>
      <w:bookmarkEnd w:id="19"/>
      <w:r>
        <w:rPr>
          <w:rFonts w:ascii="Times New Roman" w:hAnsi="Times New Roman"/>
          <w:b/>
          <w:color w:val="000000"/>
          <w:sz w:val="20"/>
        </w:rPr>
        <w:t>Consolidated Statements of Non-Convertible Preferred Stock,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2407" w:type="dxa"/>
        <w:jc w:val="left"/>
        <w:tblInd w:w="0" w:type="dxa"/>
        <w:tblLayout w:type="fixed"/>
        <w:tblCellMar>
          <w:top w:w="28" w:type="dxa"/>
          <w:left w:w="28" w:type="dxa"/>
          <w:bottom w:w="28" w:type="dxa"/>
          <w:right w:w="28" w:type="dxa"/>
        </w:tblCellMar>
      </w:tblPr>
      <w:tblGrid>
        <w:gridCol w:w="826"/>
        <w:gridCol w:w="146"/>
        <w:gridCol w:w="146"/>
        <w:gridCol w:w="541"/>
        <w:gridCol w:w="151"/>
        <w:gridCol w:w="146"/>
        <w:gridCol w:w="166"/>
        <w:gridCol w:w="541"/>
        <w:gridCol w:w="151"/>
        <w:gridCol w:w="146"/>
        <w:gridCol w:w="146"/>
        <w:gridCol w:w="146"/>
        <w:gridCol w:w="691"/>
        <w:gridCol w:w="151"/>
        <w:gridCol w:w="146"/>
        <w:gridCol w:w="166"/>
        <w:gridCol w:w="631"/>
        <w:gridCol w:w="151"/>
        <w:gridCol w:w="146"/>
        <w:gridCol w:w="146"/>
        <w:gridCol w:w="146"/>
        <w:gridCol w:w="691"/>
        <w:gridCol w:w="151"/>
        <w:gridCol w:w="146"/>
        <w:gridCol w:w="166"/>
        <w:gridCol w:w="346"/>
        <w:gridCol w:w="151"/>
        <w:gridCol w:w="146"/>
        <w:gridCol w:w="146"/>
        <w:gridCol w:w="646"/>
        <w:gridCol w:w="151"/>
        <w:gridCol w:w="146"/>
        <w:gridCol w:w="166"/>
        <w:gridCol w:w="346"/>
        <w:gridCol w:w="146"/>
        <w:gridCol w:w="146"/>
        <w:gridCol w:w="166"/>
        <w:gridCol w:w="586"/>
        <w:gridCol w:w="151"/>
        <w:gridCol w:w="146"/>
        <w:gridCol w:w="166"/>
        <w:gridCol w:w="631"/>
        <w:gridCol w:w="151"/>
        <w:gridCol w:w="146"/>
        <w:gridCol w:w="166"/>
        <w:gridCol w:w="586"/>
        <w:gridCol w:w="19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Non-Convertible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Redeemable 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Deficit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Equity (Deficit)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as of January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187,402</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42,063,829</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1,362,287</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32,813,495</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336,307</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(671,491</w:t>
            </w:r>
          </w:p>
        </w:tc>
        <w:tc>
          <w:tcPr>
            <w:tcW w:w="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(335,151</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Issuance of Series H-1 redeemable convertible</w:t>
              <w:br/>
              <w:t>   preferred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33,591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Accretion of non-convertible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Adjustment to non-convertible preferred stock and</w:t>
              <w:br/>
              <w:t>   warrant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849,938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789,291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Shares repurchased for tax withholding on </w:t>
              <w:br/>
              <w: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104,486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(195,145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(195,145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as of January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233,546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42,465,855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34,185,388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388,739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(866,636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(477,863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1"/>
              </w:rPr>
            </w:pPr>
            <w:r>
              <w:rPr>
                <w:rFonts w:ascii="Times New Roman" w:hAnsi="Times New Roman"/>
                <w:color w:val="000000"/>
                <w:sz w:val="11"/>
              </w:rPr>
              <w:t xml:space="preserve">Impact of adopting ASU 2020-06 </w:t>
            </w:r>
            <w:r>
              <w:rPr>
                <w:rFonts w:ascii="Times New Roman" w:hAnsi="Times New Roman"/>
                <w:color w:val="000000"/>
                <w:sz w:val="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upon initial public </w:t>
              <w:br/>
              <w:t>   offering, net of underwriting costs and offering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10,120,000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674,041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674,051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Conversion of redeemable convertible preferred </w:t>
              <w:br/>
              <w:t xml:space="preserve">   stock to common stock upon initial public </w:t>
              <w:br/>
              <w: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(42,465,855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44,257,289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Conversion of Class A to 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Accretion of non-convertible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Repayment of non-convertible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(282,249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(28,313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Issuance of common stock, acquisition </w:t>
              <w:br/>
              <w: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631,119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791,097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 xml:space="preserve">Shares repurchased for tax withholding on </w:t>
              <w:br/>
              <w: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(239,094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76,644,240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13,404,097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2,560,224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(1,105,730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1,454,584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Initial public offering costs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Conversion of Class B to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(818,178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Shares cancelled related to previously issued RSAs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2,142,248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2,352,163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Shares repurchased for tax withholding on settlement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Reclassification from liabilities upon vesting of</w:t>
              <w:br/>
              <w:t>   early exercised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201,739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201,739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(159,853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(159,853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1"/>
              </w:rPr>
            </w:pPr>
            <w:r>
              <w:rPr>
                <w:rFonts w:ascii="Times New Roman" w:hAnsi="Times New Roman"/>
                <w:b/>
                <w:color w:val="000000"/>
                <w:sz w:val="11"/>
              </w:rPr>
              <w:t>Balance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81,956,537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12,644,614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2,790,722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(1,265,583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1,525,234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8"/>
        </w:rPr>
        <w:t>(1)</w:t>
      </w:r>
      <w:r>
        <w:rPr>
          <w:rFonts w:ascii="Times New Roman" w:hAnsi="Times New Roman"/>
          <w:color w:val="000000"/>
          <w:sz w:val="20"/>
        </w:rPr>
        <w:t xml:space="preserve"> </w:t>
      </w:r>
      <w:r>
        <w:rPr>
          <w:rFonts w:ascii="Times New Roman" w:hAnsi="Times New Roman"/>
          <w:color w:val="000000"/>
          <w:sz w:val="14"/>
        </w:rPr>
        <w:t>See further discussion in Note 2.</w:t>
      </w:r>
    </w:p>
    <w:p>
      <w:pPr>
        <w:pStyle w:val="TextBody"/>
        <w:bidi w:val="0"/>
        <w:spacing w:before="40" w:after="283"/>
        <w:jc w:val="center"/>
        <w:rPr>
          <w:rFonts w:ascii="Times New Roman" w:hAnsi="Times New Roman"/>
          <w:color w:val="000000"/>
          <w:sz w:val="20"/>
        </w:rPr>
      </w:pPr>
      <w:bookmarkStart w:id="20" w:name="soe_last"/>
      <w:bookmarkEnd w:id="20"/>
      <w:r>
        <w:rPr>
          <w:rFonts w:ascii="Times New Roman" w:hAnsi="Times New Roman"/>
          <w:color w:val="000000"/>
          <w:sz w:val="20"/>
        </w:rPr>
        <w:t>The accompanying notes are an integral part of these 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21" w:name="statements_of_cash_flows"/>
      <w:bookmarkEnd w:id="21"/>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p>
      <w:pPr>
        <w:pStyle w:val="TextBody"/>
        <w:bidi w:val="0"/>
        <w:jc w:val="both"/>
        <w:rPr/>
      </w:pPr>
      <w:r>
        <w:rPr/>
        <w:t> </w:t>
      </w:r>
    </w:p>
    <w:tbl>
      <w:tblPr>
        <w:tblW w:w="10068" w:type="dxa"/>
        <w:jc w:val="left"/>
        <w:tblInd w:w="0" w:type="dxa"/>
        <w:tblLayout w:type="fixed"/>
        <w:tblCellMar>
          <w:top w:w="28" w:type="dxa"/>
          <w:left w:w="28" w:type="dxa"/>
          <w:bottom w:w="28" w:type="dxa"/>
          <w:right w:w="28" w:type="dxa"/>
        </w:tblCellMar>
      </w:tblPr>
      <w:tblGrid>
        <w:gridCol w:w="5416"/>
        <w:gridCol w:w="786"/>
        <w:gridCol w:w="181"/>
        <w:gridCol w:w="631"/>
        <w:gridCol w:w="151"/>
        <w:gridCol w:w="146"/>
        <w:gridCol w:w="181"/>
        <w:gridCol w:w="631"/>
        <w:gridCol w:w="151"/>
        <w:gridCol w:w="146"/>
        <w:gridCol w:w="181"/>
        <w:gridCol w:w="631"/>
        <w:gridCol w:w="836"/>
      </w:tblGrid>
      <w:tr>
        <w:trPr/>
        <w:tc>
          <w:tcPr>
            <w:tcW w:w="54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provided by (used in) operating activities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(239,094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(195,145</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provided by (used in) operating</w:t>
              <w:br/>
              <w:t>   activities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80,221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80,989</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deferred contract costs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9,402</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operating lease expense</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7,612</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102,454</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impairment and disposal of assets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5,423</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valuation of contingent consideration</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income taxes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1,826</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debt issuance costs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sale of intangibles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(1,224</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2,649</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Changes in operating assets and liabilities, net of effect of business acquisition:</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Accounts receivable</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(7,789</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Prepaid expenses and other current assets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(3,351</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Deferred contract costs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(12,595</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Contract assets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(11,840</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Other assets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Accounts payable and other accrued expenses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(2,768</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Accrued personnel related expenses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Operating lease liabilities</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(9,247</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Other liabilities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(2,657</w:t>
            </w:r>
          </w:p>
        </w:tc>
        <w:tc>
          <w:tcPr>
            <w:tcW w:w="8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Deferred revenue</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4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4"/>
              </w:rPr>
            </w:pPr>
            <w:r>
              <w:rPr>
                <w:rFonts w:ascii="Times New Roman" w:hAnsi="Times New Roman"/>
                <w:color w:val="000000"/>
                <w:sz w:val="14"/>
              </w:rPr>
              <w:t>Net cash provided by (used in) operating activities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110,131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(39,702</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provided by (used in) investing activities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Capitalized internal-use software</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(19,877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(15,743</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property and equipment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(28,354</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received for sale of intangible assets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2,739</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Deposits for property and equipment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Repayment of loan to employee</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Acquisition of business, net of cash acquired</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(19,781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40"/>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4"/>
              </w:rPr>
            </w:pPr>
            <w:r>
              <w:rPr>
                <w:rFonts w:ascii="Times New Roman" w:hAnsi="Times New Roman"/>
                <w:color w:val="000000"/>
                <w:sz w:val="14"/>
              </w:rPr>
              <w:t>Net cash used in investing activities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(44,839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(22,783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(40,347</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provided by (used in) financing activities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 of contingent consideration</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9,703</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Series H-1 redeemable convertible preferred stock</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34,000</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 of Series H-1 convertible preferred stock issuance costs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issuance of common stock in initial public offering, net of underwriting costs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682,952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Repayment of non-convertible preferred stock</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 of debt arrangements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(107,032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(71,618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Payment of deferred initial public offering costs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Costs associated with initial public offering</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 for tax withholding for the settlement of restricted stock units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(16,506</w:t>
            </w:r>
          </w:p>
        </w:tc>
        <w:tc>
          <w:tcPr>
            <w:tcW w:w="83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4"/>
              </w:rPr>
            </w:pPr>
            <w:r>
              <w:rPr>
                <w:rFonts w:ascii="Times New Roman" w:hAnsi="Times New Roman"/>
                <w:color w:val="000000"/>
                <w:sz w:val="14"/>
              </w:rPr>
              <w:t>Net cash provided by (used in) financing activities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(78,786</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279,713</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24,269</w:t>
            </w:r>
          </w:p>
        </w:tc>
        <w:tc>
          <w:tcPr>
            <w:tcW w:w="83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40"/>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4"/>
              </w:rPr>
            </w:pPr>
            <w:r>
              <w:rPr>
                <w:rFonts w:ascii="Times New Roman" w:hAnsi="Times New Roman"/>
                <w:color w:val="000000"/>
                <w:sz w:val="14"/>
              </w:rPr>
              <w:t>Net increase (decrease) in cash, cash equivalents, and restricted cash</w:t>
            </w:r>
          </w:p>
        </w:tc>
        <w:tc>
          <w:tcPr>
            <w:tcW w:w="78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(55,780</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Beginning of period</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442,846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204,643</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End of period</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442,846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148,863</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9153" w:type="dxa"/>
        <w:jc w:val="left"/>
        <w:tblInd w:w="0" w:type="dxa"/>
        <w:tblLayout w:type="fixed"/>
        <w:tblCellMar>
          <w:top w:w="28" w:type="dxa"/>
          <w:left w:w="28" w:type="dxa"/>
          <w:bottom w:w="28" w:type="dxa"/>
          <w:right w:w="28" w:type="dxa"/>
        </w:tblCellMar>
      </w:tblPr>
      <w:tblGrid>
        <w:gridCol w:w="4546"/>
        <w:gridCol w:w="786"/>
        <w:gridCol w:w="181"/>
        <w:gridCol w:w="586"/>
        <w:gridCol w:w="146"/>
        <w:gridCol w:w="146"/>
        <w:gridCol w:w="181"/>
        <w:gridCol w:w="691"/>
        <w:gridCol w:w="146"/>
        <w:gridCol w:w="146"/>
        <w:gridCol w:w="181"/>
        <w:gridCol w:w="586"/>
        <w:gridCol w:w="831"/>
      </w:tblGrid>
      <w:tr>
        <w:trPr/>
        <w:tc>
          <w:tcPr>
            <w:tcW w:w="45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other cash flow information:</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 expense</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14,697</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amounts included in the measurement of lease liabilities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14,591</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income taxes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Tenant improvements received from lessor</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3,944</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in consideration for business acquisition</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Capitalized internal-use software additions included in accrued expenses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1,441</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capitalized in internal-use software</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2,032</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 purchases included in accounts payable and</w:t>
              <w:br/>
              <w:t>   accrued expenses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Contingent consideration for acquisition included in accounts payable and</w:t>
              <w:br/>
              <w:t>   accrued operating expenses and other liabilities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Reclassification from liabilities to additional paid-in capital upon vesting of</w:t>
              <w:br/>
              <w:t>   early exercised stock options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Conversion of preferred stock to common stock</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1,395,878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Costs associated with initial public offering included in accrued expenses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3,407</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assets obtained in exchange for lease obligations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3,293</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Reduction in right-of-use asset and lease liability due to lease modifications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asset retirement obligations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non-convertible preferred stock</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45,873</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 restricted cash within</w:t>
              <w:br/>
              <w:t>   consolidated balance sheets:</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and cash equivalents</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146,710</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Restricted cash</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2,153</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4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b/>
                <w:color w:val="000000"/>
                <w:sz w:val="14"/>
              </w:rPr>
            </w:pPr>
            <w:r>
              <w:rPr>
                <w:rFonts w:ascii="Times New Roman" w:hAnsi="Times New Roman"/>
                <w:b/>
                <w:color w:val="000000"/>
                <w:sz w:val="14"/>
              </w:rPr>
              <w:t>Total cash, cash equivalents, and restricted cash shown in the</w:t>
              <w:br/>
              <w:t>   consolidated statements of cash flows</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429,352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148,863</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ServiceTitan, Inc.</w:t>
      </w:r>
    </w:p>
    <w:p>
      <w:pPr>
        <w:pStyle w:val="TextBody"/>
        <w:bidi w:val="0"/>
        <w:jc w:val="center"/>
        <w:rPr>
          <w:rFonts w:ascii="Times New Roman" w:hAnsi="Times New Roman"/>
          <w:b/>
          <w:color w:val="000000"/>
          <w:sz w:val="20"/>
        </w:rPr>
      </w:pPr>
      <w:bookmarkStart w:id="22" w:name="notes_to_cons_financial_statements"/>
      <w:bookmarkEnd w:id="22"/>
      <w:r>
        <w:rPr>
          <w:rFonts w:ascii="Times New Roman" w:hAnsi="Times New Roman"/>
          <w:b/>
          <w:color w:val="000000"/>
          <w:sz w:val="20"/>
        </w:rPr>
        <w:t>Notes to Consolidated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ServiceTitan, Inc. (“ServiceTitan” or the “Company”) is an end-to-end, AI-powered cloud-based software platform built for contractors to transform the performance of their businesses. The Company’s platform provides business owners, technicians, customer service representatives and other key office staff with technology tools designed to help customers grow revenue, drive operational efficiencies, deliver a superior end-customer experience and monitor key business drivers in real-time.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ServiceTitan is incorporated in the state of Delaware. The Company has established wholly-owned subsidiaries globally, and its headquarters are in Glendale, California.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Completion of Initial Public Offering</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December 2024, the Company completed its initial public offering (“IPO”) of shares of Class A common stock. The Company received aggregate proceeds of $674.1 million, net of underwriting costs and offering expenses. Immediately prior to the completion of the IPO, the Company amended and restated its certificate of incorporation and entered into an exchange agreement with Ara Mahdessian and Vahe Kuzoyan (the “Co-Founders”) and certain of their affiliates, resulting in the reclassification of all shares of the Company’s common stock outstanding prior to completion of the IPO into an equivalent number of shares of Class A common stock and the exchange of all shares of Class A common stock held by the Co-Founders and their affiliates for an equivalent number of shares of Class B common stock. In addition, all outstanding shares of the Company’s redeemable convertible preferred stock were automatically converted into Class A common stock immediately prior to the completion of the IPO. The Company used a portion of the proceeds from the IPO to redeem in full all outstanding shares of its non-convertible preferred stock.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consolidated financial statements and accompanying notes have been prepared in accordance with generally accepted accounting principles in the United States of America (“GAAP”) and regulations of the Securities and Exchange Commission (“SEC”) and include the operations of the Company and its wholly owned subsidiaries. All intercompany transactions and balances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fiscal year ends on January 31. The Company’s fiscal years ended January 31, 2026, January 31, 2025, and January 31, 2024 are referred to herein as fiscal 2026, fiscal 2025, and fiscal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fiscal 2026, fiscal 2025, and fiscal 2024, the Company had no material other comprehensive income (loss) items. Accordingly, a separate statement of comprehensive loss has not been presented in these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GAAP requires management to make, on an ongoing basis, estimates and assumptions that affect the amounts reported and disclosed in the consolidated financial statements and accompanying notes. Actual results may ultimately differ from management’s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 periodic basis, management evaluates its estimates based on historical data and experience, as well as various other factors that management believes to be reasonable under the circumstances, the result of which form the basis for making judgments about the carrying value of assets and liabilities that are not readily apparent from other sources. In addition, the Company routinely engages third-party valuation specialists to assist in the fair value measurement of certain assets acquired and liabilities assumed in a business combination and for periods prior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Company’s IPO, the Company engaged third-party valuation specialists to assist in the valuation of common stock used in determining stock-based compensation, and other equity instruments.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Concentrations of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January 31, 2026 and 2025, receivables from a third-party processor used for customer payments and financing accounted for 18% and 22% of accounts receivable, respectively. Fees from a third-party processor represented approximately 13% of total revenue for fiscal 2026 and 14% of total revenue for fiscal 2025 and fiscal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provides an end-to-end, AI powered cloud-based software platform that helps customers to connect, manage and automate a wide array of business workflows in the trades such as advertising, job scheduling and management, dispatching, generating estimates and invoices, payment processing and more. The Company derives substantially all revenue from platform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chief operating decision maker (“CODM”) is the Chief Executive Officer. The CODM evaluates the Company’s financial performance and decides how to allocate resources based on financial information at the consolidated level. Accordingly, the Company has determined that it operates in a single operating and reportable segment.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CODM manages the segment performance and resource allocation based on consolidated net income (loss) and total consolidated assets as reported in the consolidated statements of operations and balance sheets. Significant segment expenses regularly provided to the CODM include cost of revenue, sales and marketing, research and product development, and general and administrative expenses, other expenses, net, and provision for income taxes as reported on the consolidated statements of operations. Since the Company operates as one operating segment, financial segment information, including profit or loss and asset information, can be found in the consolidated financial statements. The CODM reviews actual results of operations compared to forecasts when assessing performance and making decisions about allocating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Substantially all of the Company’s long-lived assets, consisting of property and equipment and right-of-use (“ROU”) assets, are concentrated in the United States as of January 31, 2026 and 2025. Long-lived assets outside the United States are not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transaction gains and losses, including gains and losses from intercompany agreements between the Company and its subsidiaries, are recorded in other income, net, in the consolidated statements of operations. Foreign currency gains and losses were not material for fiscal 2026, fiscal 2025, and fiscal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functional currency for the Company’s Armenian, Australian and Canadian subsidiaries is the U.S. dollar. The local currency financial statements of the Armenian, Australian, and Canadian subsidiaries are remeasured into U.S. dollars with monetary assets and liabilities remeasured using exchange rates at the balance sheet date and nonmonetary assets and liabilities remeasured using the exchange rate at the date the item was initially recognized with the resulting foreign currency gain or loss on remeasurement included in other income, net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 consist of checking accounts and money market funds. The Company considers highly liquid investments with short-term maturities that are readily convertible to cash to be cash equivalents. Cash equivalents are recorded at fair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represents cash pledged under letters of credit for certain of the Company’s facility lease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maximize the use of observable inputs and minimize the use of unobservable inputs. Fair value measurements are based on a fair value hierarchy, based on three levels of inputs, of which the first two are considered observable and the last unobservable, which are the following:</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Quoted prices in active markets for identical assets or liabilities that the Company has the ability to access at the measurement date.</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Inputs other than quoted prices included in Level 1 that are observable for the asset or liability, either directly or indirectly, such as quoted market prices for similar assets or liabilities; quoted prices in markets that are not active; or other inputs that are observable or can be corroborated by observable market data for substantially the full term of the asset or liability.</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5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Unobservable inputs that are supported with little or no market activity and that are significant to the overall fair value of the assets or liabilities.</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assets and financial liabilities are classified in their entirety based on the lowest level input that is significant to the fair value measurement.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receivable consists of trade receivables from customers that do not pay monthly via a credit card, debit card or Automated Clearing House (“ACH”), receivables from third-party processors used for payment and financing, and amounts receivable from the Company’s payment merchant processor. Merchant processor receivables arise from the time taken to clear transactions through external payment networks, which typically ranges between two to ten business days. Accounts receivable are recorded at the invoiced amount, net of allowance for credit losses, are unsecured, and do not bear interest. The Company determines the need for an allowance for credit losses based upon various factors, including past collection experience, credit quality of the customer, age of the receivable balance, and current economic conditions, as well as specific circumstances arising with individual customers. Accounts receivables are written off against the allowance when management determines a balance is uncollectible and the Company no longer actively pursues collection of the receivable.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changes in the allowance for credit losses are as follows (in thousands):</w:t>
      </w:r>
    </w:p>
    <w:tbl>
      <w:tblPr>
        <w:tblW w:w="4124" w:type="dxa"/>
        <w:jc w:val="left"/>
        <w:tblInd w:w="0" w:type="dxa"/>
        <w:tblLayout w:type="fixed"/>
        <w:tblCellMar>
          <w:top w:w="28" w:type="dxa"/>
          <w:left w:w="28" w:type="dxa"/>
          <w:bottom w:w="28" w:type="dxa"/>
          <w:right w:w="28" w:type="dxa"/>
        </w:tblCellMar>
      </w:tblPr>
      <w:tblGrid>
        <w:gridCol w:w="1666"/>
        <w:gridCol w:w="146"/>
        <w:gridCol w:w="211"/>
        <w:gridCol w:w="736"/>
        <w:gridCol w:w="166"/>
        <w:gridCol w:w="146"/>
        <w:gridCol w:w="211"/>
        <w:gridCol w:w="631"/>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both"/>
        <w:rPr>
          <w:rFonts w:ascii="Times New Roman" w:hAnsi="Times New Roman"/>
          <w:color w:val="000000"/>
          <w:sz w:val="20"/>
        </w:rPr>
      </w:pPr>
      <w:r>
        <w:rPr>
          <w:rFonts w:ascii="Times New Roman" w:hAnsi="Times New Roman"/>
          <w:color w:val="000000"/>
          <w:sz w:val="20"/>
        </w:rPr>
        <w:t>The changes in allowance for credit losses in fiscal 2024 were not material.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is computed using the straight-line method over the estimated useful lives of three years for computer and office equipment and software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five years for all other asset categories except leasehold improvements, which are amortized over the shorter of the lease term or the expected useful life of the leasehold improvements, which ranges from three to seven years. Construction in progress is related to the construction or development of property and equipment that have not yet been placed in service for their intended use. Maintenance and repairs are expensed as incurred. When assets are retired or otherwise disposed of, the cost and related accumulated depreciation are removed from the accounts and any resulting gain or loss is reflected in the Company’s loss from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Asset Retirement Obligations (“ARO”)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 As of January 31, 2026 and 2025, the Company had ARO liabilities of $2.5 million and $2.1 million, respectively, included in other noncurrent liabilities on the consolidated balance sheet.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Internal-use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Software development costs include costs to develop software to be used to meet internal needs and applications used to deliver the Company’s services. The Company capitalizes internal-use software development costs when (i) the preliminary project stage is completed, (ii) management has authorized further funding for the completion of the project and (iii) it is probable that the project will be completed and performed as intended. These capitalized costs include external direct costs of materials and services consumed in developing or obtaining the software, personnel and related expenses for employees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the Company’s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 commencing when the software is ready for its intended use.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operating lease ROU assets and operating lease liabilities in the consolidated balance sheet. The Company does not have any finance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ROU assets represent the Company’s right to use an underlying asset for the lease term and lease liabilities represent the obligation to make lease payments arising from the lease. Operating lease ROU assets and lease liabilities are recognized based on the present value of the future minimum lease payments, over the lease term at the lease commencement date. As the rates implicit in the leases are not readily determinable, the Company uses its estimated incremental borrowing rate based on the information available at the lease commencement date in determining the present value of lease payments. The operating lease ROU asset also includes any lease payments made and excludes lease incentives received and initial direct costs incurred prior to lease commencement. Lease terms may include options to extend or terminate the lease when it is reasonably certain the Company will exercise that option. Lease expense for minimum lease payments is recognized on a straight-line basis over the lease term. Variable lease payments, which do not vary based on an index or rate, are excluded from the ROU asset and lease liability determination. Variable lease payments are typically usage-based and are recorded in the period in which the obligation for those payments is incurred. Subsequent to an impairment, the Company continues to amortize the lease liability using the same effective interest method, but the impaired ROU asset is amortized on a straight-line basis over the remaining lease term.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does not record ROU assets and operating lease liabilities for operating leases with an initial term of 12 months or less.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Cloud Computing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capitalizes qualifying implementation costs related to cloud computing arrangements that are service contracts. Such implementation costs include integration, configuration and software customization, incurred during the application development stage. Capitalized implementation costs are then amortized on a straight-line basis over the term of the associated hosting arrangement, plus any reasonably certain renewal periods, which generally range from six months to five years. Capitalized amounts are included in other current assets and other assets in the consolidated balance sheets. Amortization of capitalized implementation costs are recognized in the same line item in the consolidated statements of operations as the expenses for fees for the associated service arrangement.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assesses whether an acquisition is a business combination or an asset acquisition. If substantially all of the gross assets acquired are concentrated in a single asset or group of similar assets, then the acquisition is accounted for as an asset acquisition, where the purchase consideration is allocated on a relative fair value basis to the assets acquired. Contingent consideration in an asset acquisition is recorded when the amounts payable are probable and estimable. Goodwill is not recorded in an asset acquisition. If the gross assets are not concentrated in a single asset or group of similar assets, then the Company determines if the set of assets acquired represents a business. A business is an integrated set of activities and assets capable of being conducted and managed for the purpose of providing a return. Depending on the nature of the acquisition, judgment may be required to determine if the set of assets acquired is a business combination or not.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an acquisition of a business using the purchase method of accounting, which requires the Company to recognize separately from goodwill the assets acquired and the liabilities assumed at their acquisition date fair values. The Company allocates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 The results of a business acquired in a business combination are included in the consolidated financial statements from the date of acquisition.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Determining the fair value of assets acquired and liabilities assumed requires management to make judgments and estimates that may be significant, including the selection of valuation methodologies, estimates of future revenue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 While the Company uses its best estimates and judgments,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to reflect new information obtained about facts and circumstances that existed as of the acquisition date that, if known, would have affected the measurement of the amounts recognized as of that date. At the conclusion of the measurement period, any subsequent adjustments are reflected in the Company’s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When the Company grants equity to selling stockholders in connection with an acquisition, it evaluates whether the awards are compensatory. This evaluation includes whether vesting of a stock award is contingent on the continued employment of the selling stockholder beyond the acquisition date. If continued employment is required for stock awards to vest, the award is treated as compensation for post-acquisition services and is recognized as compensation expense over the requisite service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Transaction costs related to a business acquisition are recorded in general and administrative expenses and expensed in the period in which the costs are incurred.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Goodwill is recorded as the difference, if any, between the aggregate consideration paid for a business acquisition and the fair value of the acquired net tangible and intangible assets. Goodwill is not amortized and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for impairment at the reporting unit level annually in the fourth quarter of the fiscal year or whenever events or changes in circumstances indicate the carrying amount of goodwill may not be recoverable.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Judgment is required in performing periodic goodwill impairment tests. To review for impairment, the Company first assesses qualitative factors to determine whether events or circumstances lead to a determination that it is more likely than not that the fair value of a reporting unit is less than its carrying amount. The Company’s qualitative assessment of the recoverability of goodwill, considers various macroeconomic, industry-specific and company-specific factors. Those factors include: (i) severe adverse industry or economic trends; (ii) significant company-specific actions, including exiting an activity in conjunction with restructuring of operations; or (iii) current, historical or projected deterioration of its financial performance. After assessing the totality of events and circumstances, if the Company determines that it is not more likely than not that the fair value of a reporting unit is less than the carrying amount, no further assessment is performed. If, however, the Company determines that it is more likely than not that the fair value of a reporting unit is less than the carrying amount, a quantitative analysis is performed and if the fair value of a reporting unit is less than the carrying amount, an impairment loss is recognized in an amount equal to the excess of the carrying amount above the fair value of the reporting unit, not to exceed the amount of goodwill allocated to the reporting unit. The Company had one reporting unit as of January 31, 2026 and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Intangible assets consist of finite-lived acquired customer relationships, developed technology, intellectual property, and trade name assets. The Company determines the appropriate useful life of its intangible assets by performing an analysis of expected cash flows and considering specific facts and circumstances related to each intangible asset. Intangible assets are amortized over their estimated useful lives, ranging from 2 to 13 years, on a straight-line basis, which approximates the pattern in which the economic benefits of the assets are consumed.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Intangible and Other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Long-lived assets, which consist primarily of property and equipment, finite-lived intangible assets, internal-use software, and ROU assets, are reviewed for impairment whenever events or changes in circumstances indicate the carrying amount may not be recoverable. The Company performs impairment testing at the asset group level that represents the lowest level for which identifiable cash flows are largely independent of cash flows of other assets and liabilities. The carrying amount of an asset group is not recoverable if it exceeds the sum of the undiscounted cash flows expected to result from the use and eventual disposition of the asset group. An impairment charge is recognized when the carrying amount of an asset group is not recoverable and exceeds its fair value. The impairment loss is measured by comparing the fair value with the carrying amount. Assets to be abandoned with no remaining future service potential are written down to amounts expected to be recovered.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is recognized when promised goods or services are transferred to customers in an amount that reflects the consideration to which the Company expects to be entitled in exchange for those goods or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determines revenue recognition through the following steps: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the contract, or contracts, with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Recognition of revenue when or as the Company satisfies the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generates revenue primarily from platform services and from its professional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Platform revenue includes revenue from subscription and usage offerings. Usage offerings primarily include third-party payment processing or third-party financing services through the Company’s platform.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Subscription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primarily enters into either annual or multi-year subscription contracts with customers for access to the Company’s proprietary hosted cloud platforms (the “Core platform”). Historically, the Company entered into monthly contracts with customers. These monthly contracts automatically renew each month for another monthly contract unless cancelled at the end of the monthly term or the customer subscribes to an annual or multi-year contract. The Company’s customers do not have the ability to take possession of the software.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subscription contracts specify the contract term, the payment terms, and the services to be provided, and are noncancelable. Fees for access to the Company’s Core platform are charged on a per unit basis which may vary by product, primarily on a per technician per month basis, and are generally invoiced to the customer in advance on the first day of the monthly service period. Payments are generally due upon invoicing.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annual and multi-year subscriptions, the contracts provide for a minimum subscription fee for the contract term and in most cases, customers can expand their subscription on a monthly basis for a fee commensurate with the per unit fee defined in the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customers may subscribe to certain Pro products for additional services to supplement the Core platform and provide enhanced features. Fees for access to these subscription services are billed on a monthly basis at either the beginning or the end of each service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for subscription services is generally recognized ratably over the subscription term, commencing when the customer has access to services.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Usage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receives usage-based fees arising from payment transactions as well as usage of certain Pro products features. Customers are offered additional features through the Company’s Core platform related to end-customer payment and financing services. The customer can select from a number of third-party payment or finance companies (“a third-party processor”) that provide different payment settlement options and, in certain instances, loans to the end customer to finance their property services. The Company acts as an agent by connecting the third-party processor with its customer. The third-party processor determines the eligibility of the end customer to participate in the programs, provides the payment settlement and financing options to the end customer and is responsible for the provision of the payment or financing services. The Company receives a fee from the third-party processors used for payment and financing, which is generally a fixed percentage of the transaction value or loan amount that such third party processed. For financing services, the Company recognizes its fee at funding of the loan financing, and for payment services, the Company recognizes its fee for each payment as the underlying transactions are processed. Such fees qualify for the “right-to-invoice” practical expedient where the amount invoiced corresponds directly with the value transferred to the customer for those services. These transaction fees are recorded as revenue on a net basis as the Company does not control the payment settlement or financing used by the end customer.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usage revenue includes fees from certain Pro products sold on a usage-basis such as direct mail services, and other transaction or usage-based services. Usage-based fees are recognized as revenue in the month of service as they qualify for the “right-to-invoice” practical expedient, as the amount invoiced corresponds directly with the value transferred to the customer for those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Professional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services and other include onboarding, implementing and optimizing the customer’s software experience, as well as accounting migration, customer data migration, other optimization and consulting services, and training. Professional services and other revenue also includes live voice and chat services and other ancillary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hardware products and services sold to customers. Fees for these services are generally invoiced separately at the commencement of the contract. Professional services do not result in significant customization of the Core platform. Revenue is recognized for professional services as the services are performed or products are delivered.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Disaggregated Revenue and Revenue by Geography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Disaggregated revenue was as follows (in thousands):</w:t>
      </w:r>
    </w:p>
    <w:p>
      <w:pPr>
        <w:pStyle w:val="TextBody"/>
        <w:bidi w:val="0"/>
        <w:jc w:val="both"/>
        <w:rPr/>
      </w:pPr>
      <w:r>
        <w:rPr/>
        <w:t> </w:t>
      </w:r>
    </w:p>
    <w:tbl>
      <w:tblPr>
        <w:tblW w:w="6708" w:type="dxa"/>
        <w:jc w:val="left"/>
        <w:tblInd w:w="0" w:type="dxa"/>
        <w:tblLayout w:type="fixed"/>
        <w:tblCellMar>
          <w:top w:w="28" w:type="dxa"/>
          <w:left w:w="28" w:type="dxa"/>
          <w:bottom w:w="28" w:type="dxa"/>
          <w:right w:w="28" w:type="dxa"/>
        </w:tblCellMar>
      </w:tblPr>
      <w:tblGrid>
        <w:gridCol w:w="2611"/>
        <w:gridCol w:w="146"/>
        <w:gridCol w:w="211"/>
        <w:gridCol w:w="781"/>
        <w:gridCol w:w="146"/>
        <w:gridCol w:w="146"/>
        <w:gridCol w:w="211"/>
        <w:gridCol w:w="781"/>
        <w:gridCol w:w="146"/>
        <w:gridCol w:w="146"/>
        <w:gridCol w:w="211"/>
        <w:gridCol w:w="781"/>
        <w:gridCol w:w="3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Platform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Revenue from customers outside the United States, based on the billing address of the customer, represented less than 5% of total revenue for fiscal 2026, fiscal 2025, and fiscal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contracts with customers often include promises to deliver multiple services. Determining whether services are considered distinct performance obligations that should be accounted for separately versus together requires judgment. Judgment is also required to determine the standalone selling price (“SSP”) for each distinct performance obligation. For contracts that contain multiple performance obligations, the Company allocates the transaction price to each distinct performance obligation on a relative SSP basis. The SSP is the price at which the Company would sell a service separately to a customer. The Company estimates SSP based on the Company’s overall pricing practices, taking into consideration customer demographics, packaged product features, business type, go-to-market strategy and other factors. As the Company’s go-to-market strategies evolve, the Company may modify its pricing practices in the future, which could result in changes to SSP. The Company also applies judgment in estimating the consideration it expects to receive for its services and estimates the amount of refunds or credits based on historical experience.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transaction price allocated to remaining performance obligations represents the contracted transaction price that has not yet been recognized as revenue, which includes deferred revenue and amounts under non-cancellable contracts that will be recognized as revenue in future periods. As of January 31, 2026, the aggregate amount of the transaction price allocated to remaining performance obligations was $492.4 million, of which the Company expects to recognize approximately 48% as revenue in fiscal 2027 and substantially all of the remainder by January 31,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Remaining performance obligations exclude marketing automation usage-based fees and payment and financing solution fees for which the Company applies the “right to invoice” practical expedient.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a contract asset when revenue has been recognized but consideration is conditional upon the Company’s future performance. Contract assets and deferred revenue are presented net on an individual contract basis, separate from any accounts receivable.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reconciliation of the beginning and ending contract assets is as follows (in thousands):</w:t>
      </w:r>
    </w:p>
    <w:p>
      <w:pPr>
        <w:pStyle w:val="TextBody"/>
        <w:bidi w:val="0"/>
        <w:jc w:val="both"/>
        <w:rPr/>
      </w:pPr>
      <w:r>
        <w:rPr/>
        <w:t> </w:t>
      </w:r>
    </w:p>
    <w:tbl>
      <w:tblPr>
        <w:tblW w:w="5759" w:type="dxa"/>
        <w:jc w:val="left"/>
        <w:tblInd w:w="0" w:type="dxa"/>
        <w:tblLayout w:type="fixed"/>
        <w:tblCellMar>
          <w:top w:w="28" w:type="dxa"/>
          <w:left w:w="28" w:type="dxa"/>
          <w:bottom w:w="28" w:type="dxa"/>
          <w:right w:w="28" w:type="dxa"/>
        </w:tblCellMar>
      </w:tblPr>
      <w:tblGrid>
        <w:gridCol w:w="3196"/>
        <w:gridCol w:w="146"/>
        <w:gridCol w:w="211"/>
        <w:gridCol w:w="736"/>
        <w:gridCol w:w="166"/>
        <w:gridCol w:w="146"/>
        <w:gridCol w:w="211"/>
        <w:gridCol w:w="73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transferred to accounts</w:t>
              <w:br/>
              <w: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contract assets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Contract assets primarily relate to revenue recognized for subscription services and fees allocated for such services are contingent upon the Company’s future performance. There were no impairments of contract assets during fiscal 2026, fiscal 2025, or fiscal 2024. As of January 31, 2026 and 2025, the Company had an allowance for contract assets of $6.8 million and $5.1 million,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deferred revenue (contract liabilities) when the Company has received payment prior to recognizing revenue and for amounts that have been invoiced in advance of revenue recognition. The Company generally invoices for any fees for professional services and the fee for the first month of subscription services upon execution of the contract. Substantially all of the $10.8 million of deferred revenue as of January 31, 2023 was recognized as revenue during fiscal 2024. Substantially all of the $11.2 million of deferred revenue as of January 31, 2024 was recognized as revenue during fiscal 2025. Substantially all of the $16.8 million of deferred revenue as of January 31, 2025 was recognized as revenue during fiscal 2026. Deferred revenue of $18.7 million as of January 31, 2026 is expected to be fully recognized in fiscal 2027.</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defers costs, which primarily consist of sales commissions, as these are considered incremental and recoverable costs of obtaining a contract with a customer. These costs are deferred and amortized on a straight-line basis over a period of benefit that the Company has estimated to be three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does not pay commissions for contract renewals that maintain existing terms. The Company estimates the period of benefit by taking into consideration the Company’s customer contract terms, the useful life of the internal-use software, average customer life and the Company’s commission policies, among other factors. During fiscal 2026, fiscal 2025, and fiscal 2024, the Company capitalized $22.4 million, $15.8 million, and $12.7 million of contract costs and amortized $14.9 million, $11.5 million, and $9.4 million of deferred contract costs, respectively. Amortization expense is included in sales and marketing expense in the consolidated statement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Platform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platform revenue consists of personnel-related costs in connection with product support and customer success, as well as costs related to the provisioning of the Company’s platform services. Costs related to the provisioning of the Company’s platform services is primarily comprised of fees paid to third-party service providers associated with delivery of Pro and FinTech products, platform infrastructure and server costs, call tracking fees, and payment processing fees. Personnel-related costs primarily include salary, employee benefits, bonuses and stock-based compensation. In addition, cost of platform revenue includes amortization of certain acquired intangible assets, amortization of capitalized internal-use software costs directly related to the Company’s cloud-based software solution and allocated overhead.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accumulates certain costs such as depreciation, rent, utilities, and other facilities related costs and allocates them across the various expense categories based on headcount. The Company refers to these costs as “allocated overhead.”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Professional Services and 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Professional services and other cost of revenue consists primarily of personnel-related costs in connection with providing customer onboarding and customer implementation, live voice and chat services, amortization of certain acquired intangible assets, and allocated overhead. Personnel-related costs primarily include salary, employee benefits, bonuses, and stock-based compensation. Other cost of revenue includes the cost of certain other ancillary products and services sold to customers.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 consists primarily of personnel-related costs, and consulting costs incurred in connection with the Company’s sales and marketing efforts. Personnel-related costs primarily include salary, commissions, employee benefits, bonus and stock-based compensation. Sales and marketing expense also includes marketing and advertising expenses, such as the Company’s annual customer conferences, Pantheon and Ignite, and travel and trade show expenses, amortization of acquired customer intangible assets, and allocated overhead.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Advertising costs are expensed as incurred and were $34.8 million and $30.5 million, and $27.1 million for fiscal 2026, fiscal 2025, and fiscal 2024,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 consists primarily of personnel-related and other costs incurred in connection with product management and development efforts. Personnel-related costs primarily include salary, employee benefits, bonus and stock-based compensation. Research and development expense also includes fees to third-party product development resources, infrastructure and server costs, and allocated overhead.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costs are expensed as incurred, except for costs associated with internal-use software development that qualify for capitalization. Amortization of internal-use software development costs related to the Company’s cloud-based software solutions are included in platform cost of revenue.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 consists primarily of personnel-related costs including salary, employee benefits, bonus and stock-based compensation for the Company’s executive, finance, legal, information systems, and operations and human resource teams. General and administrative expense also includes professional fees, other outside consulting expenses, acquisition- and disposal-related expenses, and allocated overhead.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stock-based compensation expense for employees and non-employees based on the grant-date fair value of equity awards over the applicable service period. For awards that vest based only on continued service, stock-based compensation cost is recognized on a straight-line basis over the requisite service period, which is generally the vesting period of the awards. For awards that contain performance vesting conditions, stock-based compensation cost is recognized on a graded vesting basis over the requisite service period when it is probable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on a graded vesting basis, with a cumulative adjustment for the portion of the service period that occurred for the period prior to the performance condition becoming probable of achievement, if any. Stock-based compensation expense for equity awards that contain performance and market vesting conditions is recognized on a graded vesting basis over the requisite service period commencing when it is probable the performance condition will be achieved even if the market condition is not satisfied. Forfeitures are recorded when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grant date fair value of stock options that contain service or performance conditions is estimated using the Black-Scholes option-pricing model. The grant date fair value of restricted stock awards (“RSAs”) and restricted stock units (“RSUs”) that contain service vesting conditions are estimated based on the fair value of the underlying shares on the grant date. For awards with market vesting conditions, the fair value is estimated using a Monte Carlo simulation model, which incorporates the likelihood of achieving the market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assumptions and estimates used in the Black-Scholes option-pricing model and the Monte Carlo simulation model are as follows: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of Common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Because there was previously no public market for the Company’s common stock prior to the IPO, the board of directors (the “Board of Directors”) determined the fair value of the common stock by considering a number of objective and subjective factors including the Company’s actual operating and financial performance, market conditions and performance of comparable publicly traded companies, developments and milestones in the Company, the likelihood of achieving a liquidity event transaction involving the Company’s redeemable convertible preferred stock or common stock, recent sales of and the prices, rights, preferences and privileges of the Company’s redeemable convertible preferred stock and common stock, and the results of third-party valuations. The valuations use various models which include assumptions and estimates made by management, which may include forecasted revenues and costs, discount rates, the selection of comparable companies and related multiples and the likelihood and timing of an exit event, among other assumptions and estimates. The fair value was determined in accordance with applicable elements of the Accounting and Valuation Guide issued by the American Institute of Certified Public Accountants, </w:t>
      </w:r>
      <w:r>
        <w:rPr>
          <w:rFonts w:ascii="Times New Roman" w:hAnsi="Times New Roman"/>
          <w:i/>
          <w:color w:val="000000"/>
          <w:sz w:val="20"/>
        </w:rPr>
        <w:t>Valuation of Privately-Held-Company Equity Securities Issued as Compensation</w:t>
      </w:r>
      <w:r>
        <w:rPr>
          <w:rFonts w:ascii="Times New Roman" w:hAnsi="Times New Roman"/>
          <w:color w:val="000000"/>
          <w:sz w:val="20"/>
        </w:rPr>
        <w:t xml:space="preserve">. For awards granted subsequent to the IPO, the fair value of common stock is determined based on the Company’s quoted closing stock price on the date of grant.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Expected Term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term represents the weighted-average period that the stock options are expected to remain outstanding. To determine the expected term for stock option awards with exercise prices equal to the fair value of the underlying common stock on the date of grant, and that vest based solely on continued service, the Company applies the simplified approach, in which the expected term of an award is presumed to be the mid-point between the vesting date and the expiration date of the award. For non-standard awards, the Company determines the expected term based on historical and estimates of future exercise behavior.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the Company does not have a long trading history for its common stock, the Company determines the price volatility based on the historical volatilities of a publicly traded peer group based on daily price observations over a period equivalent to the expected term of the award. The Company will continue to monitor peer companies and other relevant factors used to measure expected volatility for future stock option grants, if 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Risk-free Interest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 is based on the yields of U.S. Treasury securities with maturities approximating the expected term of the awards.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 Yield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dividend yield is zero because the Company has never declared or paid a dividend and does not expect to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income tax assets and liabilities are determined based upon the net tax effects of the differences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valuation allowance is established if, based upon the available evidence, it is more likely than not that some or all of the deferred tax assets will not be realized. The Company considers all available evidence, both positive and negative, including historical levels of income or loss, and expectations and risk associated with estimates of future taxable income in assessing the need for a valuation allowance.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a tax benefit from an uncertain position only if it is more likely than not that the tax position will be sustained on examination by the taxing authorities, based on its technical merits. If this threshold is met, the Company measures the tax benefit as the largest amount of the benefit that is greater than fifty percent likely of being realized upon ultimate settlement.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recognizes penalties and interest accrued with respect to uncertain tax positions, if any, in the provision for or benefit from income taxes in the consolidated statements of operations. As of January 31, 2026 and 2025, accrued penalties and interest related to uncertain tax positions were not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has become involved in claims and other legal matters arising in the ordinary course of business. The Company investigates these claims as they arise. The Company records a loss contingency when it is probable that an asset has been impaired or a liability has been incurred and the amount of the loss can be reasonably estimated. The Company also discloses material contingencies when it is believed a loss is not probable but reasonably possible and discloses the amount of possible loss or range of loss when a reliable estimate can be made. Accounting for contingencies requires the Company to use judgment related to both the likelihood of a loss and the estimate of the amount, or range, of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computes earnings per share using the two-class method where net income is allocated between common stock and participating securities based upon their respective rights to receive dividends as if all income for the period had been distributed. Net losses were not allocated to the redeemable convertible preferred stock as the holders of the redeemable convertible preferred stock do not have a contractual obligation to share in any losses. The Company’s redeemable convertible preferred stock were participating securities as they had rights to participate in dividends with the common stockholders. Net losses attributable to common stockholders are adjusted for accretion of non-convertible preferred stock, deemed dividends relating to down round adjustments to conversion prices of redeemable convertible preferred stock, and losses on extinguishment of the Company’s preferred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net loss per share attributable to common stockholders is computed by dividing the net loss attributable to common stockholders by the weighted-average number of shares of Class A and Class B common stock outstanding during the period, net of the weighted-average unvested restricted stock and unvested early exercised options subject to repurchase, if any, during the period. Diluted net loss per share is calculated by giving effect to potentially dilutive securities outstanding for the period. Potentially dilutive securities include stock options, unvested early exercised options, and restricted stock computed using the treasury stock method and redeemable convertible preferred stock using the if-converted method. As the Company has reported net losses attributable to common stockholders all potentially dilutive securities are antidilutive, and accordingly, basic net loss per share attributable to common stockholders equals diluted net loss per share attributable to common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Debt—Debt with Conversion and Other Options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August 2020, the Financial Accounting Standards Board (“FASB”) issued Accounting Standards Update (“ASU”) 2020-06, </w:t>
      </w:r>
      <w:r>
        <w:rPr>
          <w:rFonts w:ascii="Times New Roman" w:hAnsi="Times New Roman"/>
          <w:i/>
          <w:color w:val="000000"/>
          <w:sz w:val="20"/>
        </w:rPr>
        <w:t>Debt—Debt with Conversion and Other Options (Subtopic 470-20) and Derivatives and Hedging—Contracts in Entity’s Own Equity (Subtopic 815-40)</w:t>
      </w:r>
      <w:r>
        <w:rPr>
          <w:rFonts w:ascii="Times New Roman" w:hAnsi="Times New Roman"/>
          <w:color w:val="000000"/>
          <w:sz w:val="20"/>
        </w:rPr>
        <w:t>. The FASB reduced the number of accounting models for convertible debt and convertible preferred stock instruments and made certain disclosure amendments to improve the information provided to users. In addition, the FASB amended the derivative guidance for the “own stock” scope exception and certain aspects of the earnings per share guidance including the impact of down-round features. The Company adopted ASU 2020-06 as of February 1, 2024 and elected to apply ASU 2020-06 using the modified retrospective method to all financial instruments outstanding as of February 1, 2024. The cumulative effect of initially applying ASU 2020-06 resulted in an increase to additional paid-in capital and a deemed dividend of $6.3 million representing the impact of the down-round adjustments to the conversion prices of the Series F and Series G redeemable convertible preferred stock in fiscal 2023 and 2024. As the Company does not have retained earnings to record the deemed dividend, the deemed dividend was charged against additional paid-in capital resulting in no net impact to additional paid-in capital. Comparative periods have not been restated and continue to be reported under the accounting standard in effect for those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Tax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adopted ASU 2023-09 for the year ended January 31, 2026, and applied the new disclosure requirements prospectively to the current annual period. Prior period disclosures have not been adjusted to reflect the new disclosure requirements. See Note 14 Income Taxes in the accompanying notes to the consolidated financial statements for further details.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 (Subtopic 220-40): Disaggregation of Income Statement Expenses</w:t>
      </w:r>
      <w:r>
        <w:rPr>
          <w:rFonts w:ascii="Times New Roman" w:hAnsi="Times New Roman"/>
          <w:color w:val="000000"/>
          <w:sz w:val="20"/>
        </w:rPr>
        <w:t xml:space="preserve">, which requires disclosure, in the notes to the financial statements, of additional information about certain costs and expenses for interim and annual reporting periods. Additionally, in January 2025, the FASB issued ASU 2025-01 to clarify the effective date of ASU 2024-03. The amendments are effective beginning with the Company's fiscal 2028 and interim periods beginning with the Company’s fiscal 2029 on a prospective basis and retrospective application is permitted. The Company is currently evaluating the impact of the new guidance on the disclosure within its consolidated financial statements.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Measurement of Credit Losses for Accounts Receivable and Contract Assets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July 2025, the FASB issued ASU 2025-05, Financial Instruments - Credit Losses (Topic 326):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which amends ASC 326-20 to provide a practical expedient related to the estimation of expected credit losses for current accounts receivable and current contract assets that arise from transactions accounted for under ASC 606. The practical expedient permits all entities to assume that current conditions as of the balance sheet date do not change for the remaining life of the asset. The amendments are effective for annual periods beginning with the Company’s fiscal 2027. Early adoption is permitted. The Company is currently evaluating the impact of the new guidance and does not expect a material impact on its financial statements and related disclosures.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Accounting for Internal-Use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Targeted Improvements to the Accounting for Internal-Use Software</w:t>
      </w:r>
      <w:r>
        <w:rPr>
          <w:rFonts w:ascii="Times New Roman" w:hAnsi="Times New Roman"/>
          <w:color w:val="000000"/>
          <w:sz w:val="20"/>
        </w:rPr>
        <w:t xml:space="preserve">. The new guidance amends certain aspects of the accounting for and disclosure of software costs under ASC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350-40. ASU 2025-06 is effective beginning with the Company’s fiscal 2029, with early adoption permitted. The Company is currently evaluating the impact of the new guidance on the disclosure within its consolidated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Interim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beginning with the Company’s fiscal 2029. Early adoption is permitted. The Company is currently evaluating the impact of adopting this ASU on its condensed consolidated financial statements and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Financial assets and liabilities measured and recorded at fair value on a recurring basis consisted of the following (in thousands): </w:t>
      </w:r>
    </w:p>
    <w:tbl>
      <w:tblPr>
        <w:tblW w:w="7123" w:type="dxa"/>
        <w:jc w:val="left"/>
        <w:tblInd w:w="0" w:type="dxa"/>
        <w:tblLayout w:type="fixed"/>
        <w:tblCellMar>
          <w:top w:w="28" w:type="dxa"/>
          <w:left w:w="28" w:type="dxa"/>
          <w:bottom w:w="28" w:type="dxa"/>
          <w:right w:w="28" w:type="dxa"/>
        </w:tblCellMar>
      </w:tblPr>
      <w:tblGrid>
        <w:gridCol w:w="2676"/>
        <w:gridCol w:w="146"/>
        <w:gridCol w:w="196"/>
        <w:gridCol w:w="691"/>
        <w:gridCol w:w="146"/>
        <w:gridCol w:w="146"/>
        <w:gridCol w:w="228"/>
        <w:gridCol w:w="402"/>
        <w:gridCol w:w="146"/>
        <w:gridCol w:w="146"/>
        <w:gridCol w:w="228"/>
        <w:gridCol w:w="402"/>
        <w:gridCol w:w="146"/>
        <w:gridCol w:w="146"/>
        <w:gridCol w:w="196"/>
        <w:gridCol w:w="691"/>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411,590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123" w:type="dxa"/>
        <w:jc w:val="left"/>
        <w:tblInd w:w="0" w:type="dxa"/>
        <w:tblLayout w:type="fixed"/>
        <w:tblCellMar>
          <w:top w:w="28" w:type="dxa"/>
          <w:left w:w="28" w:type="dxa"/>
          <w:bottom w:w="28" w:type="dxa"/>
          <w:right w:w="28" w:type="dxa"/>
        </w:tblCellMar>
      </w:tblPr>
      <w:tblGrid>
        <w:gridCol w:w="2676"/>
        <w:gridCol w:w="146"/>
        <w:gridCol w:w="196"/>
        <w:gridCol w:w="691"/>
        <w:gridCol w:w="146"/>
        <w:gridCol w:w="146"/>
        <w:gridCol w:w="228"/>
        <w:gridCol w:w="402"/>
        <w:gridCol w:w="146"/>
        <w:gridCol w:w="146"/>
        <w:gridCol w:w="228"/>
        <w:gridCol w:w="402"/>
        <w:gridCol w:w="146"/>
        <w:gridCol w:w="146"/>
        <w:gridCol w:w="196"/>
        <w:gridCol w:w="691"/>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427,792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money market funds are considered Level 1 as fair value is based on market prices for identical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and 2025, the fair value of the Company’s financial instruments included in current assets and current liabilities (including restricted cash, accounts receivable, accounts payable, and accrued expenses) approximated carrying value due to the short-term nature of such items.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the Company had no debt outstanding. See Note 7. Debt Arrangements for further details. As of January 31, 2025, the fair value of the Company’s outstanding debt approximated its carrying value. The fair value of debt was estimated using Level 2 inputs, based on interest rates available for debt with terms and maturities similar to the Company’s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to the Company’s valuation techniques used to measure the fair value of assets and liabilities on a recurring basis during fiscal 2026, fiscal 2025, and fiscal 2024. There were no transfers of assets from Level 2 to Level 3 during fiscal 2026, fiscal 2025, and fiscal 2024.</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Certain assets, including goodwill, intangible assets and other long-lived assets are also subject to measurement at fair value on a nonrecurring basis using Level 3 measurements, but only when they are deemed to be impaired as a result of an impairment review. For fiscal 2026, 2025, and 2024, the Company recorded impairment of long-lived assets to reduce the carrying value to estimated fair value (see Note 4 for further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Balance Sheet Components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Prepaid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consisted of the following (in thousands):</w:t>
      </w:r>
    </w:p>
    <w:p>
      <w:pPr>
        <w:pStyle w:val="TextBody"/>
        <w:bidi w:val="0"/>
        <w:jc w:val="left"/>
        <w:rPr/>
      </w:pPr>
      <w:r>
        <w:rPr/>
        <w:t> </w:t>
      </w:r>
    </w:p>
    <w:tbl>
      <w:tblPr>
        <w:tblW w:w="4744" w:type="dxa"/>
        <w:jc w:val="left"/>
        <w:tblInd w:w="0" w:type="dxa"/>
        <w:tblLayout w:type="fixed"/>
        <w:tblCellMar>
          <w:top w:w="28" w:type="dxa"/>
          <w:left w:w="28" w:type="dxa"/>
          <w:bottom w:w="28" w:type="dxa"/>
          <w:right w:w="28" w:type="dxa"/>
        </w:tblCellMar>
      </w:tblPr>
      <w:tblGrid>
        <w:gridCol w:w="2521"/>
        <w:gridCol w:w="146"/>
        <w:gridCol w:w="196"/>
        <w:gridCol w:w="601"/>
        <w:gridCol w:w="146"/>
        <w:gridCol w:w="146"/>
        <w:gridCol w:w="196"/>
        <w:gridCol w:w="60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software and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Internal-use Software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Internal-use software development costs were as follows (in thousands):</w:t>
      </w:r>
    </w:p>
    <w:p>
      <w:pPr>
        <w:pStyle w:val="TextBody"/>
        <w:bidi w:val="0"/>
        <w:jc w:val="left"/>
        <w:rPr/>
      </w:pPr>
      <w:r>
        <w:rPr/>
        <w:t> </w:t>
      </w:r>
    </w:p>
    <w:tbl>
      <w:tblPr>
        <w:tblW w:w="5759" w:type="dxa"/>
        <w:jc w:val="left"/>
        <w:tblInd w:w="0" w:type="dxa"/>
        <w:tblLayout w:type="fixed"/>
        <w:tblCellMar>
          <w:top w:w="28" w:type="dxa"/>
          <w:left w:w="28" w:type="dxa"/>
          <w:bottom w:w="28" w:type="dxa"/>
          <w:right w:w="28" w:type="dxa"/>
        </w:tblCellMar>
      </w:tblPr>
      <w:tblGrid>
        <w:gridCol w:w="3346"/>
        <w:gridCol w:w="146"/>
        <w:gridCol w:w="196"/>
        <w:gridCol w:w="691"/>
        <w:gridCol w:w="166"/>
        <w:gridCol w:w="146"/>
        <w:gridCol w:w="196"/>
        <w:gridCol w:w="661"/>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Internal-use software development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Capitalized software development costs were $24.7 million and $22.7 million for fiscal 2026 and fiscal 2025, respectively. Amortization expense for software development costs was $21.2 million, $16.2 million, and $11.8 million for fiscal 2026, fiscal 2025, fiscal 2024, respectively. Amortization had not started on $2.4 million and $3.2 million of capitalized internal-use software development costs that were not yet ready for their intended use as of January 31, 2026 and January 31,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expected future amortization expense related to capitalized internal-use software development costs is as follows (in thousands):</w:t>
      </w:r>
    </w:p>
    <w:p>
      <w:pPr>
        <w:pStyle w:val="TextBody"/>
        <w:bidi w:val="0"/>
        <w:jc w:val="left"/>
        <w:rPr/>
      </w:pPr>
      <w:r>
        <w:rPr/>
        <w:t> </w:t>
      </w:r>
    </w:p>
    <w:tbl>
      <w:tblPr>
        <w:tblW w:w="1675" w:type="dxa"/>
        <w:jc w:val="left"/>
        <w:tblInd w:w="0" w:type="dxa"/>
        <w:tblLayout w:type="fixed"/>
        <w:tblCellMar>
          <w:top w:w="28" w:type="dxa"/>
          <w:left w:w="28" w:type="dxa"/>
          <w:bottom w:w="28" w:type="dxa"/>
          <w:right w:w="28" w:type="dxa"/>
        </w:tblCellMar>
      </w:tblPr>
      <w:tblGrid>
        <w:gridCol w:w="541"/>
        <w:gridCol w:w="146"/>
        <w:gridCol w:w="196"/>
        <w:gridCol w:w="60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consisted of the following (in thousands, except years):</w:t>
      </w:r>
    </w:p>
    <w:p>
      <w:pPr>
        <w:pStyle w:val="TextBody"/>
        <w:bidi w:val="0"/>
        <w:jc w:val="left"/>
        <w:rPr/>
      </w:pPr>
      <w:r>
        <w:rPr/>
        <w:t> </w:t>
      </w:r>
    </w:p>
    <w:tbl>
      <w:tblPr>
        <w:tblW w:w="6011" w:type="dxa"/>
        <w:jc w:val="left"/>
        <w:tblInd w:w="0" w:type="dxa"/>
        <w:tblLayout w:type="fixed"/>
        <w:tblCellMar>
          <w:top w:w="28" w:type="dxa"/>
          <w:left w:w="28" w:type="dxa"/>
          <w:bottom w:w="28" w:type="dxa"/>
          <w:right w:w="28" w:type="dxa"/>
        </w:tblCellMar>
      </w:tblPr>
      <w:tblGrid>
        <w:gridCol w:w="2506"/>
        <w:gridCol w:w="146"/>
        <w:gridCol w:w="196"/>
        <w:gridCol w:w="661"/>
        <w:gridCol w:w="166"/>
        <w:gridCol w:w="146"/>
        <w:gridCol w:w="196"/>
        <w:gridCol w:w="661"/>
        <w:gridCol w:w="166"/>
        <w:gridCol w:w="146"/>
        <w:gridCol w:w="102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w:t>
            </w:r>
            <w:r>
              <w:rPr>
                <w:rFonts w:ascii="Times New Roman" w:hAnsi="Times New Roman"/>
                <w:color w:val="000000"/>
                <w:sz w:val="20"/>
              </w:rPr>
              <w:t> </w:t>
            </w:r>
            <w:r>
              <w:rPr>
                <w:rFonts w:ascii="Times New Roman" w:hAnsi="Times New Roman"/>
                <w:color w:val="000000"/>
                <w:sz w:val="16"/>
              </w:rPr>
              <w:t>to 7</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was $14.6 million, $18.1 million, and $19.3 million for fiscal 2026, fiscal 2025 and fiscal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fiscal 2026, fiscal 2025 and fiscal 2024, the Company ceased use of certain office space and determined to sublease such space for the remainder of the lease term, which resulted in the Company reassessing its asset groupings. The Company determined the office space asset groups, comprised primarily of an ROU asset, the related leasehold improvements and other property and equipment, were impaired and recorded an aggregate impairment loss of $10.9 million, $39.1 million and $4.9 million in fiscal 2026, fiscal 2025 and fiscal 2024, respectively, to reduce the carrying value of the asset groups to their estimated fair value. The impairments resulted in a reduction of the ROU asset by $2.7 million, $13.1 million and $1.1 million in fiscal 2026, fiscal 2025 and fiscal 2024, respectively, and leasehold improvements, furniture and fixtures and office equipment by $8.2 million, $26.0 million and $3.7 million in fiscal 2026, fiscal 2025 and fiscal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impairments were recorded in the consolidated statement of operations as follows (in thousands):</w:t>
      </w:r>
    </w:p>
    <w:p>
      <w:pPr>
        <w:pStyle w:val="TextBody"/>
        <w:bidi w:val="0"/>
        <w:jc w:val="left"/>
        <w:rPr/>
      </w:pPr>
      <w:r>
        <w:rPr/>
        <w:t> </w:t>
      </w:r>
    </w:p>
    <w:tbl>
      <w:tblPr>
        <w:tblW w:w="6583" w:type="dxa"/>
        <w:jc w:val="left"/>
        <w:tblInd w:w="0" w:type="dxa"/>
        <w:tblLayout w:type="fixed"/>
        <w:tblCellMar>
          <w:top w:w="28" w:type="dxa"/>
          <w:left w:w="28" w:type="dxa"/>
          <w:bottom w:w="28" w:type="dxa"/>
          <w:right w:w="28" w:type="dxa"/>
        </w:tblCellMar>
      </w:tblPr>
      <w:tblGrid>
        <w:gridCol w:w="3361"/>
        <w:gridCol w:w="146"/>
        <w:gridCol w:w="196"/>
        <w:gridCol w:w="601"/>
        <w:gridCol w:w="146"/>
        <w:gridCol w:w="146"/>
        <w:gridCol w:w="196"/>
        <w:gridCol w:w="601"/>
        <w:gridCol w:w="146"/>
        <w:gridCol w:w="146"/>
        <w:gridCol w:w="196"/>
        <w:gridCol w:w="511"/>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estimated fair value of the asset groups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Accounts Payable and Other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Accounts payable and other accrued expenses consisted of the following (in thousands):</w:t>
      </w:r>
    </w:p>
    <w:p>
      <w:pPr>
        <w:pStyle w:val="TextBody"/>
        <w:bidi w:val="0"/>
        <w:jc w:val="left"/>
        <w:rPr/>
      </w:pPr>
      <w:r>
        <w:rPr/>
        <w:t> </w:t>
      </w:r>
    </w:p>
    <w:tbl>
      <w:tblPr>
        <w:tblW w:w="5884" w:type="dxa"/>
        <w:jc w:val="left"/>
        <w:tblInd w:w="0" w:type="dxa"/>
        <w:tblLayout w:type="fixed"/>
        <w:tblCellMar>
          <w:top w:w="28" w:type="dxa"/>
          <w:left w:w="28" w:type="dxa"/>
          <w:bottom w:w="28" w:type="dxa"/>
          <w:right w:w="28" w:type="dxa"/>
        </w:tblCellMar>
      </w:tblPr>
      <w:tblGrid>
        <w:gridCol w:w="3661"/>
        <w:gridCol w:w="146"/>
        <w:gridCol w:w="196"/>
        <w:gridCol w:w="601"/>
        <w:gridCol w:w="146"/>
        <w:gridCol w:w="146"/>
        <w:gridCol w:w="196"/>
        <w:gridCol w:w="601"/>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Non-income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 hosting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accounts payable and 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collects and remits sales and use, value added taxes, and other taxes (“tax liabilities”) relating to services provided where required. In instances in which the Company determines there is additional exposure for uncollected tax liabilities relating to services provided due to uncertainty arising from the complexity and interpretation of applicable state and local laws, rules and regulations, or lack of widely known and accepted practices, the Company accrues for these taxes. The accrual requires the use of estimates and is complex. The Company accrues for the amount of taxes that are due, or when the amounts due are uncertain, the Company accrues for the amount of taxes that are probable and estimable. The Company updates its estimates each period considering the impacts of state or local authority audits, settlement of these liabilities or when new information becomes available regarding the Company’s tax obligations. The amount of taxes that the Company may ultimately pay may differ from these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Accrued Personnel Related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personnel related expenses consisted of the following (in thousands):</w:t>
      </w:r>
    </w:p>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2956"/>
        <w:gridCol w:w="146"/>
        <w:gridCol w:w="196"/>
        <w:gridCol w:w="601"/>
        <w:gridCol w:w="146"/>
        <w:gridCol w:w="146"/>
        <w:gridCol w:w="196"/>
        <w:gridCol w:w="601"/>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accrued 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80,160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Conduit Tech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the Company acquired 100% of the outstanding equity of Conduit Tech, Inc. (“Conduit”) for a total purchase consideration of $19.8 million, net of cash acquired of $6.3 million. The Company anticipates that the acquisition of Conduit will allow the Company to integrate Conduit’s HVAC design and sales proposal platform and enablement tools within its suite of solutions. In connection with the acquisition, the Company granted equity awards to certain acquired employees and founders. These awards vest based solely on future service and the Company will recognize the related stock-based compensation expense over the requisite service periods.</w:t>
      </w:r>
    </w:p>
    <w:p>
      <w:pPr>
        <w:pStyle w:val="TextBody"/>
        <w:bidi w:val="0"/>
        <w:spacing w:before="240" w:after="360"/>
        <w:jc w:val="both"/>
        <w:rPr>
          <w:rFonts w:ascii="Times New Roman" w:hAnsi="Times New Roman"/>
          <w:color w:val="000000"/>
          <w:sz w:val="20"/>
        </w:rPr>
      </w:pPr>
      <w:r>
        <w:rPr>
          <w:rFonts w:ascii="Times New Roman" w:hAnsi="Times New Roman"/>
          <w:color w:val="000000"/>
          <w:sz w:val="20"/>
        </w:rPr>
        <w:t>The following table summarizes the purchase price allocation, as well as the estimated useful lives of the acquired intangible assets (in thousands, except years):</w:t>
      </w:r>
    </w:p>
    <w:tbl>
      <w:tblPr>
        <w:tblW w:w="6677" w:type="dxa"/>
        <w:jc w:val="left"/>
        <w:tblInd w:w="0" w:type="dxa"/>
        <w:tblLayout w:type="fixed"/>
        <w:tblCellMar>
          <w:top w:w="28" w:type="dxa"/>
          <w:left w:w="28" w:type="dxa"/>
          <w:bottom w:w="28" w:type="dxa"/>
          <w:right w:w="28" w:type="dxa"/>
        </w:tblCellMar>
      </w:tblPr>
      <w:tblGrid>
        <w:gridCol w:w="4001"/>
        <w:gridCol w:w="546"/>
        <w:gridCol w:w="196"/>
        <w:gridCol w:w="601"/>
        <w:gridCol w:w="166"/>
        <w:gridCol w:w="146"/>
        <w:gridCol w:w="1021"/>
      </w:tblGrid>
      <w:tr>
        <w:trPr/>
        <w:tc>
          <w:tcPr>
            <w:tcW w:w="40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Identifiable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Trade name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Customer relationship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7</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Developed technology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6"/>
              </w:rPr>
            </w:pPr>
            <w:r>
              <w:rPr>
                <w:rFonts w:ascii="Times New Roman" w:hAnsi="Times New Roman"/>
                <w:color w:val="000000"/>
                <w:sz w:val="16"/>
              </w:rPr>
              <w:t>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intangible assets subject to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and 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identifiable net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purchase consideration, net of cash acquired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Goodwill, which primarily relates to expected synergies and expanded market opportunities that are expected to be achieved from the integration of Conduit with the Company’s offerings and assembled workforce, is not deductible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values of the developed technology and trade name were determined using the relief-from-royalty method, and the fair value of customer relationships was determined using the multiple-period excess earnings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financial information for fiscal 2026 and fiscal 2025, and revenue and losses for the period post-acquisition have not been presented because such amounts are not material to the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incurred transaction costs of $1.1 million related to the acquisition of Conduit during fiscal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Convex Labs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2024, the Company acquired 100% of the outstanding equity of Convex Labs Inc. (“Convex”). The acquisition of Convex provides the Company additional tools to modernize the commercial services industry with data-driven solutions. The purchase price of $25.8 million consisted of 373,118 shares of the Company’s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valued at $23.5 million in addition to $2.3 million in cash. Of the 373,118 shares, the Company held back 41,959 shares of common stock, valued at $2.6 million at the acquisition date, to cover post-closing purchase price adjustments and potential indemnities. The held back shares were released in fiscal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purchase price allocation, as well as the estimated useful lives of the acquired intangible assets (in thousands, except years):</w:t>
      </w:r>
    </w:p>
    <w:p>
      <w:pPr>
        <w:pStyle w:val="TextBody"/>
        <w:bidi w:val="0"/>
        <w:jc w:val="both"/>
        <w:rPr/>
      </w:pPr>
      <w:r>
        <w:rPr/>
        <w:t> </w:t>
      </w:r>
    </w:p>
    <w:tbl>
      <w:tblPr>
        <w:tblW w:w="6332" w:type="dxa"/>
        <w:jc w:val="left"/>
        <w:tblInd w:w="0" w:type="dxa"/>
        <w:tblLayout w:type="fixed"/>
        <w:tblCellMar>
          <w:top w:w="28" w:type="dxa"/>
          <w:left w:w="28" w:type="dxa"/>
          <w:bottom w:w="28" w:type="dxa"/>
          <w:right w:w="28" w:type="dxa"/>
        </w:tblCellMar>
      </w:tblPr>
      <w:tblGrid>
        <w:gridCol w:w="3656"/>
        <w:gridCol w:w="546"/>
        <w:gridCol w:w="196"/>
        <w:gridCol w:w="601"/>
        <w:gridCol w:w="166"/>
        <w:gridCol w:w="146"/>
        <w:gridCol w:w="1021"/>
      </w:tblGrid>
      <w:tr>
        <w:trPr/>
        <w:tc>
          <w:tcPr>
            <w:tcW w:w="365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Useful Lives</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Identifiable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Trade name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Customer relationship</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Developed technology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Times New Roman" w:hAnsi="Times New Roman"/>
                <w:color w:val="000000"/>
                <w:sz w:val="16"/>
              </w:rPr>
            </w:pPr>
            <w:r>
              <w:rPr>
                <w:rFonts w:ascii="Times New Roman" w:hAnsi="Times New Roman"/>
                <w:color w:val="000000"/>
                <w:sz w:val="16"/>
              </w:rPr>
              <w:t>5</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intangible assets subject to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and other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identifiable net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purchase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Goodwill, which primarily relates to expected synergies and assembled workforce, is not deductible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values of the developed technology and trade name were determined using the relief-from-royalty relief method, and the fair value of customer relationships was determined using the multiple-period excess earnings method.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 forma financial information for fiscal 2025 and fiscal 2024, and revenue and losses for the period post-acquisition have not been presented because such amounts are not material to the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incurred transaction costs of $2.3 million related to the acquisition of Convex during fiscal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Intangible Assets and Goodwill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book values of intangible assets were as follows (in thousands, except years):</w:t>
      </w:r>
    </w:p>
    <w:p>
      <w:pPr>
        <w:pStyle w:val="TextBody"/>
        <w:bidi w:val="0"/>
        <w:spacing w:before="120" w:after="283"/>
        <w:jc w:val="both"/>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2026</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7.0</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0.7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569"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23"/>
        <w:gridCol w:w="858"/>
        <w:gridCol w:w="166"/>
        <w:gridCol w:w="146"/>
        <w:gridCol w:w="196"/>
        <w:gridCol w:w="691"/>
        <w:gridCol w:w="146"/>
        <w:gridCol w:w="146"/>
        <w:gridCol w:w="976"/>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 2025</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 xml:space="preserve">Remaining </w:t>
              <w:br/>
              <w:t>Useful Life</w:t>
              <w:br/>
              <w:t>(years)</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1.1</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370,917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Amortization expense for intangible assets was as follows (in thousands):</w:t>
      </w:r>
    </w:p>
    <w:p>
      <w:pPr>
        <w:pStyle w:val="TextBody"/>
        <w:bidi w:val="0"/>
        <w:jc w:val="both"/>
        <w:rPr/>
      </w:pPr>
      <w:r>
        <w:rPr/>
        <w:t> </w:t>
      </w:r>
    </w:p>
    <w:tbl>
      <w:tblPr>
        <w:tblW w:w="7873" w:type="dxa"/>
        <w:jc w:val="left"/>
        <w:tblInd w:w="0" w:type="dxa"/>
        <w:tblLayout w:type="fixed"/>
        <w:tblCellMar>
          <w:top w:w="28" w:type="dxa"/>
          <w:left w:w="28" w:type="dxa"/>
          <w:bottom w:w="28" w:type="dxa"/>
          <w:right w:w="28" w:type="dxa"/>
        </w:tblCellMar>
      </w:tblPr>
      <w:tblGrid>
        <w:gridCol w:w="3361"/>
        <w:gridCol w:w="346"/>
        <w:gridCol w:w="196"/>
        <w:gridCol w:w="601"/>
        <w:gridCol w:w="346"/>
        <w:gridCol w:w="346"/>
        <w:gridCol w:w="196"/>
        <w:gridCol w:w="601"/>
        <w:gridCol w:w="346"/>
        <w:gridCol w:w="346"/>
        <w:gridCol w:w="196"/>
        <w:gridCol w:w="601"/>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and other cost of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45,179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45,925</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estimated future amortization expense related to the intangible assets is as follows (in thousands):</w:t>
      </w:r>
    </w:p>
    <w:p>
      <w:pPr>
        <w:pStyle w:val="TextBody"/>
        <w:bidi w:val="0"/>
        <w:jc w:val="both"/>
        <w:rPr/>
      </w:pPr>
      <w:r>
        <w:rPr/>
        <w:t> </w:t>
      </w:r>
    </w:p>
    <w:tbl>
      <w:tblPr>
        <w:tblW w:w="2065" w:type="dxa"/>
        <w:jc w:val="left"/>
        <w:tblInd w:w="0" w:type="dxa"/>
        <w:tblLayout w:type="fixed"/>
        <w:tblCellMar>
          <w:top w:w="28" w:type="dxa"/>
          <w:left w:w="28" w:type="dxa"/>
          <w:bottom w:w="28" w:type="dxa"/>
          <w:right w:w="28" w:type="dxa"/>
        </w:tblCellMar>
      </w:tblPr>
      <w:tblGrid>
        <w:gridCol w:w="841"/>
        <w:gridCol w:w="146"/>
        <w:gridCol w:w="196"/>
        <w:gridCol w:w="69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changes to goodwill were as follows (in thousands):</w:t>
      </w:r>
    </w:p>
    <w:p>
      <w:pPr>
        <w:pStyle w:val="TextBody"/>
        <w:bidi w:val="0"/>
        <w:jc w:val="both"/>
        <w:rPr/>
      </w:pPr>
      <w:r>
        <w:rPr/>
        <w:t> </w:t>
      </w:r>
    </w:p>
    <w:tbl>
      <w:tblPr>
        <w:tblW w:w="6214" w:type="dxa"/>
        <w:jc w:val="left"/>
        <w:tblInd w:w="0" w:type="dxa"/>
        <w:tblLayout w:type="fixed"/>
        <w:tblCellMar>
          <w:top w:w="28" w:type="dxa"/>
          <w:left w:w="28" w:type="dxa"/>
          <w:bottom w:w="28" w:type="dxa"/>
          <w:right w:w="28" w:type="dxa"/>
        </w:tblCellMar>
      </w:tblPr>
      <w:tblGrid>
        <w:gridCol w:w="3811"/>
        <w:gridCol w:w="146"/>
        <w:gridCol w:w="196"/>
        <w:gridCol w:w="691"/>
        <w:gridCol w:w="146"/>
        <w:gridCol w:w="146"/>
        <w:gridCol w:w="196"/>
        <w:gridCol w:w="691"/>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in goodwill related to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845,836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No indicators of impairment of goodwill were identified during fiscal 2026, 2025 and 2024, and accordingly, the Company has not recorded any impairment of goodwill during those periods.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pPr>
      <w:r>
        <w:rPr>
          <w:rFonts w:ascii="Times New Roman" w:hAnsi="Times New Roman"/>
          <w:b/>
          <w:color w:val="000000"/>
          <w:sz w:val="20"/>
        </w:rPr>
        <w:t>Debt Arrangements</w:t>
      </w:r>
      <w:r>
        <w:rPr>
          <w:color w:val="00000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2023, we entered into a secured credit agreement (the “Original Credit Agreement”) with Wells Fargo Bank N.A., as administrative agent and collateral agent, and certain lenders. In September 2024, we amended the Original Credit Agreement (the “First Amendment”) to, among other things, convert our existing term loan to a new term loan balance and a revolving credit facility. On January 30, 2026, we entered into a second amendment (the “Second Amendment”) to the Original Credit Agreement (as amended by the First Amendment and the Second Amendment, the “Amended Credit Agreement”) that increased the total borrowing capacity of the revolving credit facility made available under the Amended Credit Agreement from $140.0 million to $250.0 million (the “Amended Revolver”) and extended the term of the Amended Credit Agreement through January 30, 2031.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Second Amendment (i) modified pricing and unused commitment fees payable under the Amended Credit Agreement to be based on total net leverage rather than recurring revenue, (ii) replaced the recurring revenue and liquidity financial covenants in the Original Credit Agreement with a total net leverage financial covenant, and (iii) modified certain customary negative covenants from the Original Credit Agreement, including liens, indebtedness, investments, dispositions, restricted payments and restricted debt payments, to provide us with more flexibility thereunder. Prior to entering into the Second Amendment we voluntarily repaid, in full, the approximately $107.0 million term loan that was outstanding under the Original Credit Agreement. As of January 31, 2026, no loans were outstanding under the Amended Credit Agreement. The Amended Revolver will incur a 0.20% annual fee for undrawn amounts. If we borrow under the Credit Agreement in the future, outstanding amounts will bear interest at a floating rate at the Company’s option of either (i) a term Secured Overnight Financing Rate (“SOFR”) based rate for a specified interest period plus an applicable margin, which ranges from 1.5% to 2.0% per annum based on the Company’s total net leverage ratio, or (ii) a base rate plus an applicable margin, which ranges from 0.5% to 1.0% per annum based on the Company’s total net leverage ratio.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interest rate on the Loan Facility was 7.88% as of January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wrote off $1.5 million in unamortized debt discounts and issuance costs to loss on extinguishment of debt related to the termination of the term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had unsecured letters of credit issued in the face amount of $0.6 million and $1.0 million outstanding as of January 31, 2026 and January 31,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Noncancellable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January 31, 2026, the Company had long-term noncancellable agreements related primarily to its cloud hosting arrangements in addition to marketing events and management consulting projects. The estimated payments by future period, which for certain cloud computing arrangements are based on estimated usage, are as follows (in thousands):</w:t>
      </w:r>
    </w:p>
    <w:p>
      <w:pPr>
        <w:pStyle w:val="TextBody"/>
        <w:bidi w:val="0"/>
        <w:jc w:val="both"/>
        <w:rPr/>
      </w:pPr>
      <w:r>
        <w:rPr/>
        <w:t> </w:t>
      </w:r>
    </w:p>
    <w:tbl>
      <w:tblPr>
        <w:tblW w:w="1675" w:type="dxa"/>
        <w:jc w:val="left"/>
        <w:tblInd w:w="0" w:type="dxa"/>
        <w:tblLayout w:type="fixed"/>
        <w:tblCellMar>
          <w:top w:w="28" w:type="dxa"/>
          <w:left w:w="28" w:type="dxa"/>
          <w:bottom w:w="28" w:type="dxa"/>
          <w:right w:w="28" w:type="dxa"/>
        </w:tblCellMar>
      </w:tblPr>
      <w:tblGrid>
        <w:gridCol w:w="541"/>
        <w:gridCol w:w="146"/>
        <w:gridCol w:w="196"/>
        <w:gridCol w:w="60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97,790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ordinary course of business, the Company may become subject to legal proceedings, claims and litigation. Such matters are subject to many uncertainties and outcomes are not predictable with assurance. If the Company determines that it is probable that a loss has been incurred and the amount is reasonably estimable, the Company will record a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January 31, 2026, the Company is not subject to any pending legal matters or claims that it believes could have a material adverse effect on its financial position, results of operations, or cash flows should such litigation be resolved unfavorably.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indemnifications of varying scope and terms to customers, vendors, lessors, investors, directors, officers, employees and other parties with respect to certain matters, including, but not limited to, losses arising out of the Company’s breach of such agreements, products or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maximum loss clauses. The maximum potential amount of future payments the Company could be required to make under these indemnification provisions is indeterminable. The Company is not subject to any material indemnification claims that are probable or reasonably possible, and has not made any cash payments under its indemnification agreements that had a material effect on the financial position, results of operations or cash flows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operating leases for its corporate offices. The leases have remaining lease terms ranging from one to six years, with certain leases having various term extensions available. These options to extend have not been recognized as part of the Company’s ROU assets and lease liabilities as it is not reasonably certain that the Company will exercise these options. The lease agreements do not contain any residual value guarantees or material restrictive covenants. The Company has lease agreements with lease and non-lease components, which the Company has elected to account for as single lease component for all assets. The lease costs are allocated within cost of revenue and operating expenses on the consolidated statements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Information related to the Company’s leases is as follows (in thousands, except years and percentages):</w:t>
      </w:r>
    </w:p>
    <w:p>
      <w:pPr>
        <w:pStyle w:val="TextBody"/>
        <w:bidi w:val="0"/>
        <w:jc w:val="both"/>
        <w:rPr/>
      </w:pPr>
      <w:r>
        <w:rPr/>
        <w:t> </w:t>
      </w:r>
    </w:p>
    <w:tbl>
      <w:tblPr>
        <w:tblW w:w="5054" w:type="dxa"/>
        <w:jc w:val="left"/>
        <w:tblInd w:w="0" w:type="dxa"/>
        <w:tblLayout w:type="fixed"/>
        <w:tblCellMar>
          <w:top w:w="28" w:type="dxa"/>
          <w:left w:w="28" w:type="dxa"/>
          <w:bottom w:w="28" w:type="dxa"/>
          <w:right w:w="28" w:type="dxa"/>
        </w:tblCellMar>
      </w:tblPr>
      <w:tblGrid>
        <w:gridCol w:w="2641"/>
        <w:gridCol w:w="146"/>
        <w:gridCol w:w="196"/>
        <w:gridCol w:w="601"/>
        <w:gridCol w:w="241"/>
        <w:gridCol w:w="146"/>
        <w:gridCol w:w="196"/>
        <w:gridCol w:w="601"/>
        <w:gridCol w:w="28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tbl>
      <w:tblPr>
        <w:tblW w:w="4853" w:type="dxa"/>
        <w:jc w:val="left"/>
        <w:tblInd w:w="0" w:type="dxa"/>
        <w:tblLayout w:type="fixed"/>
        <w:tblCellMar>
          <w:top w:w="28" w:type="dxa"/>
          <w:left w:w="28" w:type="dxa"/>
          <w:bottom w:w="28" w:type="dxa"/>
          <w:right w:w="28" w:type="dxa"/>
        </w:tblCellMar>
      </w:tblPr>
      <w:tblGrid>
        <w:gridCol w:w="1621"/>
        <w:gridCol w:w="146"/>
        <w:gridCol w:w="196"/>
        <w:gridCol w:w="571"/>
        <w:gridCol w:w="166"/>
        <w:gridCol w:w="146"/>
        <w:gridCol w:w="196"/>
        <w:gridCol w:w="511"/>
        <w:gridCol w:w="166"/>
        <w:gridCol w:w="146"/>
        <w:gridCol w:w="196"/>
        <w:gridCol w:w="601"/>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fiscal 2026, 2025 and 2024, the Company recorded an impairment of $2.7 million, $13.1 million and $1.1 million of an ROU asset, respectively (See Note 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minimum lease payments under noncancelable leases included in the calculation of lease liabilities as of January 31, 2026 were as follows (in thousands):</w:t>
      </w:r>
    </w:p>
    <w:p>
      <w:pPr>
        <w:pStyle w:val="TextBody"/>
        <w:bidi w:val="0"/>
        <w:jc w:val="left"/>
        <w:rPr/>
      </w:pPr>
      <w:r>
        <w:rPr/>
        <w:t> </w:t>
      </w:r>
    </w:p>
    <w:tbl>
      <w:tblPr>
        <w:tblW w:w="3925" w:type="dxa"/>
        <w:jc w:val="left"/>
        <w:tblInd w:w="0" w:type="dxa"/>
        <w:tblLayout w:type="fixed"/>
        <w:tblCellMar>
          <w:top w:w="28" w:type="dxa"/>
          <w:left w:w="28" w:type="dxa"/>
          <w:bottom w:w="28" w:type="dxa"/>
          <w:right w:w="28" w:type="dxa"/>
        </w:tblCellMar>
      </w:tblPr>
      <w:tblGrid>
        <w:gridCol w:w="2571"/>
        <w:gridCol w:w="146"/>
        <w:gridCol w:w="196"/>
        <w:gridCol w:w="601"/>
        <w:gridCol w:w="411"/>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Fiscal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future minimum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noncancelable leases executed, but which have not yet commenced as of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40" w:after="283"/>
        <w:jc w:val="both"/>
        <w:rPr>
          <w:rFonts w:ascii="Times New Roman" w:hAnsi="Times New Roman"/>
          <w:sz w:val="20"/>
        </w:rPr>
      </w:pPr>
      <w:r>
        <w:rPr>
          <w:rFonts w:ascii="Times New Roman" w:hAnsi="Times New Roman"/>
          <w:i/>
          <w:color w:val="231F20"/>
          <w:sz w:val="20"/>
        </w:rPr>
        <w:t>Reclassification of Common Stock</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231F20"/>
          <w:sz w:val="20"/>
        </w:rPr>
        <w:t>Immediately prior to the completion of the IPO in fiscal 2025, the Company filed an amended and restated certificate of incorporation, which authorized a total of 1,000,000,000 shares of Class A common stock, 100,000,000 shares of Class B common stock, and 100,000,000 of Class C common stock and each share of common stock then outstanding was reclassified as Class A common stock with the same rights and preferences. The Company also authorized 100,000,000 shares of preferred stock, the rights and preferences as may be designed by the Board of Directors.</w:t>
      </w:r>
      <w:r>
        <w:rPr>
          <w:rFonts w:ascii="Times New Roman" w:hAnsi="Times New Roman"/>
          <w:color w:val="000000"/>
          <w:sz w:val="20"/>
        </w:rPr>
        <w:t xml:space="preserve"> </w:t>
      </w:r>
      <w:r>
        <w:rPr>
          <w:rFonts w:ascii="Times New Roman" w:hAnsi="Times New Roman"/>
          <w:color w:val="231F20"/>
          <w:sz w:val="20"/>
        </w:rPr>
        <w:t xml:space="preserve">The rights of holders of Class A common stock, Class B common stock and Class C common stock are identical, except with respect to voting and conversion rights. Each share of Class A common stock is entitled to one vote. Each share of Class B common stock is entitled to 10 votes and is convertible at any time into one share of Class A common stock. Each share of Class C common stock is entitled to no votes, except as otherwise required by law.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The Company also executed an exchange agreement with the Co-Founders prior to the completion of the IPO whereby 13,404,097 shares of Class A common stock held by the Co-Founders and their affiliates (after reclassification from common stock described above) were exchanged for an equivalent number of shares of Class B common stock.</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Each share of Class B common stock is convertible into one share of Class A common stock at the option of the holder or automatically upon a sale or transfer by the holder, except for certain permitted transfers. In addition, each share of Class B common stock will convert automatically into one share of Class A common stock upon the earlier of (i) the 15-year anniversary of the completion of the IPO and (ii) the date fixed by the Board of Directors that is no less than 61 days and no more than 180 days following the first date following the completion of the IPO on which the number of shares of Class B common stock held by the </w:t>
      </w:r>
      <w:r>
        <w:rPr>
          <w:rFonts w:ascii="Times New Roman" w:hAnsi="Times New Roman"/>
          <w:color w:val="000000"/>
          <w:sz w:val="20"/>
        </w:rPr>
        <w:t>Co-Founders</w:t>
      </w:r>
      <w:r>
        <w:rPr>
          <w:rFonts w:ascii="Times New Roman" w:hAnsi="Times New Roman"/>
          <w:color w:val="231F20"/>
          <w:sz w:val="20"/>
        </w:rPr>
        <w:t xml:space="preserve"> and the permitted entities they control is less than 20% of the shares of Class B common stock (including securities convertible or exercisable into Class B common stock) held by the Co-Founders and the permitted entities they control on the date of the completion of the IPO.</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In addition, options, RSAs and RSUs for common stock were reclassified to options, RSAs and RSUs for Class A common stock, with the exception of options and RSUs held by the Co-Founders which were designated as options and RSUs for Class B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2022, the Company issued 250,000 shares of non-convertible preferred stock (“NCPS”) and warrants to purchase 1,262,516 shares of common stock for $0.01 per share, that were immediately exercised. Subsequent to the IPO in fiscal 2025, the Company redeemed all outstanding shares of its NCPS for $310.6 million, which included the $250.0 million redemption price and $60.6 million of accrued dividends. Upon redemption, the Company recorded an adjustment of $28.3 million to net loss to compute net loss attributable to common stockholders for the loss on redemption, measured as the difference between the redemption price and the then carrying value of the NCPS. The Company recorded accretion of $48.7 million and $45.9 million for fiscal 2025 and fiscal 2024, respectively, related to the adjustment of the initial carrying value of the NCPS to the estimated redemption amount.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Immediately prior to the completion of the IPO in fiscal 2025, all outstanding shares of redeemable convertible preferred stock were automatically converted into shares of Class A common stock as follows:</w:t>
      </w:r>
    </w:p>
    <w:p>
      <w:pPr>
        <w:pStyle w:val="TextBody"/>
        <w:bidi w:val="0"/>
        <w:jc w:val="both"/>
        <w:rPr/>
      </w:pPr>
      <w:r>
        <w:rPr/>
        <w:t> </w:t>
      </w:r>
    </w:p>
    <w:tbl>
      <w:tblPr>
        <w:tblW w:w="7612" w:type="dxa"/>
        <w:jc w:val="left"/>
        <w:tblInd w:w="0" w:type="dxa"/>
        <w:tblLayout w:type="fixed"/>
        <w:tblCellMar>
          <w:top w:w="28" w:type="dxa"/>
          <w:left w:w="28" w:type="dxa"/>
          <w:bottom w:w="28" w:type="dxa"/>
          <w:right w:w="28" w:type="dxa"/>
        </w:tblCellMar>
      </w:tblPr>
      <w:tblGrid>
        <w:gridCol w:w="1891"/>
        <w:gridCol w:w="146"/>
        <w:gridCol w:w="235"/>
        <w:gridCol w:w="1475"/>
        <w:gridCol w:w="146"/>
        <w:gridCol w:w="146"/>
        <w:gridCol w:w="252"/>
        <w:gridCol w:w="1428"/>
        <w:gridCol w:w="146"/>
        <w:gridCol w:w="146"/>
        <w:gridCol w:w="193"/>
        <w:gridCol w:w="1217"/>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br/>
              <w:t>Preferred Stock 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Redeemable</w:t>
              <w:br/>
              <w:t>Convertible Preferred</w:t>
              <w:br/>
              <w:t>Stock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of Conversion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of Class A </w:t>
              <w:br/>
              <w:t xml:space="preserve">Common Stock </w:t>
              <w:br/>
              <w:t>After Conversion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14,356,003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14,356,003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5,774,623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5,774,623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5,704,551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5,704,551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2,350,498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5,604,318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7,097,597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H-1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409,056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42,465,855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1,791,434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44,257,289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231F20"/>
          <w:sz w:val="20"/>
        </w:rPr>
      </w:pPr>
      <w:r>
        <w:rPr>
          <w:rFonts w:ascii="Times New Roman" w:hAnsi="Times New Roman"/>
          <w:color w:val="231F20"/>
          <w:sz w:val="20"/>
        </w:rPr>
        <w:t xml:space="preserve">As the price per share for the Class A common stock offered and sold in the IPO was below the original issue prices of the Series F, G and H-1 redeemable convertible preferred stock, the conversion prices were adjusted in accordance with the Company's amended and restated certificate of incorporation in effect prior to the completion of the IPO, resulting in the issuance of additional shares of Class A common stock in connection with the conversion of such series of redeemable convertible preferred stock. The impact of this anti-dilution adjustment resulted in an adjustment to net loss to compute net loss attributable to common stockholders of approximately $12.6 million during fiscal 2025.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 xml:space="preserve">As the price per share for the Class A common stock offered and sold in the IPO was less than the conversion price of the Series H redeemable convertible preferred stock accreting at 11% per annum, accruing daily and compounding quarterly from and after May 22, 2024 (the “Ratchet Adjustment Denominator”), the conversion price of the Series H redeemable convertible preferred stock was reduced to an amount equal to the product of (a) the price per share for the Class A common stock offered and sold in the IPO, multiplied by (b) $84.5712 divided by the Ratchet Adjustment Denominator. The impact of this adjustment to the conversion price resulted in an adjustment to net loss to compute net loss attributable to common stockholders of approximately $31.0 million during fiscal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and January 31, 2025, there were no shares of redeemable convertible preferred stock issued and outstanding.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granted stock-based awards under its 2015 Stock Plan and 2024 Incentive Award Plan. The Company stopped granting new stock-based awards under its 2015 Stock Plan on the date of its IPO. Pursuant to the terms of the 2024 Incentive Award Plan, additional shares of Class A common stock may “roll over” to the 2024 Incentive Award Plan in the event of the termination or lapse of stock options outstanding pursuant to the 2015 Stock Plan. As of January 31, 2026, there were 13,436,003 and 24,177,851 shares of common stock authorized and reserved for issuance under the 2015 Stock Plan and 2024 Incentive Award Plan,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there were 21,283,612 shares of common stock available for future issuance under the 2024 Incentive Award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Company adopted an employee stock purchase program in fiscal 2025 (the “2024 ESPP”) that would allow eligible employees to purchase shares of the Company’s Class A common stock at periodic intervals using accumulated payroll deductions. As of January 31, 2026, there were 4,367,264 shares authorized under the 2024 ESPP. As of January 31, 2026, the first offering period under the 2024 ESPP had not commenced.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Conduit acquisition, the Company assumed the Conduit Tech, Inc. 2022 Stock Plan (the “Conduit Plan”) and each RSU outstanding under the Conduit Plan that was held by an employee of Conduit immediately following the acquisition of Conduit (each, a “Conduit RSU”). Each Conduit RSU was converted into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RSU of the Company to acquire shares of the Company’s Class A common stock on the same terms and conditions as the Conduit RSUs, including with respect to the time-based vesting conditions. As of January 31, 2026, there were 31,626 shares of Class A common stock issuable pursuant to the Conduit RSUs under the Conduit Plan. The Company recognized stock-based compensation expense of $1.3 million during fiscal 2026 and unrecognized stock-based compensation expense was $2.7 million as of January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there were 52,054 shares of Class A common stock constituting revested Conduit founders’ consideration that will be released from a risk of forfeiture over a three year period with one-third of the shares released on the first anniversary of the closing, and the remaining shares released in equal amounts every quarter thereafter for the remaining two years. The Company recognized stock-based compensation expense of $0.6 million during fiscal 2026 and unrecognized stock-based compensation expense was $4.7 million as of January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Fiscal 2024 Tender Offer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entering into the Series H-1 redeemable convertible preferred stock purchase agreement in July 2023, the Company facilitated a tender offer whereby the Series H-1 redeemable convertible preferred stock investors purchased shares of the Company’s common stock from current and former employees and consultants, and certain existing investors. The tender offer was completed in July 2023. As a result, Series H-1 redeemable convertible preferred stock investors purchased an aggregate of 1,942,709 shares of the Company’s common stock at a purchase price of $70.00 per share for proceeds to the selling stockholders of $136.0 million. The purchase price in this tender offer transaction was in excess of the estimated fair value of the common stock of $62.28 per share at the time of the transaction. As a result, during fiscal 2024, the Company recorded the excess of the purchase price over the fair value as stock-based compensation expense of $14.0 million which is included in the table below for shares purchased from current and former employees and consultants.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Fiscal 2025 Tender Offer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presented a tender offer to employees who held stock options with exercise prices of $63.55 and above whereby the employees could exchange the options for restricted stock units (“RSUs”) at a ratio of one RSU for every two stock options. The tender offer window closed on May 15, 2024. As a result, 207,784 stock options with service-only vesting conditions were cancelled and exchanged for 103,888 RSUs. The replacement RSUs vest upon the satisfaction of both a performance and service condition, where the performance condition was satisfied upon the effectiveness of the IPO and the service condition is satisfied over a period of approximately two years from June 15, 2024, subject to the employee continuing to provide service to the Company through the date that is two weeks following the expiration of the restrictions on sales of common stock following the IPO, which was June 24, 2025 (the “RSU Release Date”). The exchange was accounted for as a modification and resulted in an incremental stock-based compensation charge of $1.3 million upon the effectiveness of the IPO in fiscal 2025 and $0.9 million to be recognized ratably over the remaining requisite service period ending June 15, 2026. In addition, as part of the fiscal 2025 tender offer, 36,000 stock options with revenue performance vesting conditions and an exercise price of $63.55 were exchanged for 18,000 RSUs and retained the same revenue performance condition, resulting in an incremental stock-based compensation charge of $0.2 million at the time of the close of the tender offer and $0.2 million was recognized ratably through October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stock-based compensation expense by line item in the consolidated statements of operations is summarized as follows (in thousands):</w:t>
      </w:r>
    </w:p>
    <w:p>
      <w:pPr>
        <w:pStyle w:val="TextBody"/>
        <w:bidi w:val="0"/>
        <w:jc w:val="both"/>
        <w:rPr/>
      </w:pPr>
      <w:r>
        <w:rPr/>
        <w:t> </w:t>
      </w:r>
    </w:p>
    <w:tbl>
      <w:tblPr>
        <w:tblW w:w="11810" w:type="dxa"/>
        <w:jc w:val="left"/>
        <w:tblInd w:w="0" w:type="dxa"/>
        <w:tblLayout w:type="fixed"/>
        <w:tblCellMar>
          <w:top w:w="28" w:type="dxa"/>
          <w:left w:w="28" w:type="dxa"/>
          <w:bottom w:w="28" w:type="dxa"/>
          <w:right w:w="28" w:type="dxa"/>
        </w:tblCellMar>
      </w:tblPr>
      <w:tblGrid>
        <w:gridCol w:w="1126"/>
        <w:gridCol w:w="146"/>
        <w:gridCol w:w="196"/>
        <w:gridCol w:w="691"/>
        <w:gridCol w:w="146"/>
        <w:gridCol w:w="146"/>
        <w:gridCol w:w="243"/>
        <w:gridCol w:w="748"/>
        <w:gridCol w:w="146"/>
        <w:gridCol w:w="146"/>
        <w:gridCol w:w="196"/>
        <w:gridCol w:w="691"/>
        <w:gridCol w:w="146"/>
        <w:gridCol w:w="146"/>
        <w:gridCol w:w="196"/>
        <w:gridCol w:w="691"/>
        <w:gridCol w:w="146"/>
        <w:gridCol w:w="146"/>
        <w:gridCol w:w="243"/>
        <w:gridCol w:w="748"/>
        <w:gridCol w:w="146"/>
        <w:gridCol w:w="146"/>
        <w:gridCol w:w="196"/>
        <w:gridCol w:w="691"/>
        <w:gridCol w:w="146"/>
        <w:gridCol w:w="146"/>
        <w:gridCol w:w="196"/>
        <w:gridCol w:w="601"/>
        <w:gridCol w:w="146"/>
        <w:gridCol w:w="146"/>
        <w:gridCol w:w="196"/>
        <w:gridCol w:w="601"/>
        <w:gridCol w:w="146"/>
        <w:gridCol w:w="146"/>
        <w:gridCol w:w="196"/>
        <w:gridCol w:w="69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7" w:type="dxa"/>
            <w:gridSpan w:val="3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RSU,</w:t>
              <w:br/>
              <w:t>and RSA</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RSU,</w:t>
              <w:br/>
              <w:t>and RSA</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Co-Founder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RSU,</w:t>
              <w:br/>
              <w:t>and RSA</w:t>
              <w:br/>
              <w:t>Grants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Tender</w:t>
              <w:br/>
              <w:t>Offer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Professional services and </w:t>
              <w:br/>
              <w:t>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Total stock-based </w:t>
              <w:br/>
              <w:t>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 Options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granted to purchase shares of the Company’s common stock vest at varying rates, but generally over four years with 25% vesting upon completion of one year of service and the remainder vesting monthly thereafter. All stock options with service-only conditions are exercisable into Class A common stock upon vesting. Activity for stock options that contain service only vesting conditions was as follows:</w:t>
      </w:r>
    </w:p>
    <w:p>
      <w:pPr>
        <w:pStyle w:val="TextBody"/>
        <w:bidi w:val="0"/>
        <w:jc w:val="both"/>
        <w:rPr/>
      </w:pPr>
      <w:r>
        <w:rPr/>
        <w:t> </w:t>
      </w:r>
    </w:p>
    <w:tbl>
      <w:tblPr>
        <w:tblW w:w="7533" w:type="dxa"/>
        <w:jc w:val="left"/>
        <w:tblInd w:w="0" w:type="dxa"/>
        <w:tblLayout w:type="fixed"/>
        <w:tblCellMar>
          <w:top w:w="28" w:type="dxa"/>
          <w:left w:w="28" w:type="dxa"/>
          <w:bottom w:w="28" w:type="dxa"/>
          <w:right w:w="28" w:type="dxa"/>
        </w:tblCellMar>
      </w:tblPr>
      <w:tblGrid>
        <w:gridCol w:w="2596"/>
        <w:gridCol w:w="146"/>
        <w:gridCol w:w="146"/>
        <w:gridCol w:w="886"/>
        <w:gridCol w:w="166"/>
        <w:gridCol w:w="146"/>
        <w:gridCol w:w="199"/>
        <w:gridCol w:w="522"/>
        <w:gridCol w:w="146"/>
        <w:gridCol w:w="146"/>
        <w:gridCol w:w="223"/>
        <w:gridCol w:w="648"/>
        <w:gridCol w:w="146"/>
        <w:gridCol w:w="146"/>
        <w:gridCol w:w="238"/>
        <w:gridCol w:w="8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Intrinsic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were no stock options granted in fiscal 2026, fiscal 2025 or fiscal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unrecognized compensation cost related to stock options with service only vesting conditions as of January 31, 2026 was $1.4 million, which is expected to be recognized over a remaining weighted average period of approximately 0.37 years. The total intrinsic value of options exercised was $184.6 million, $36.7 million, and $43.4 million for fiscal 2026, fiscal 2025 and fiscal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with Performance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 activity for awards with performance conditions consisted of the following:</w:t>
      </w:r>
    </w:p>
    <w:p>
      <w:pPr>
        <w:pStyle w:val="TextBody"/>
        <w:bidi w:val="0"/>
        <w:jc w:val="both"/>
        <w:rPr/>
      </w:pPr>
      <w:r>
        <w:rPr/>
        <w:t> </w:t>
      </w:r>
    </w:p>
    <w:tbl>
      <w:tblPr>
        <w:tblW w:w="7398" w:type="dxa"/>
        <w:jc w:val="left"/>
        <w:tblInd w:w="0" w:type="dxa"/>
        <w:tblLayout w:type="fixed"/>
        <w:tblCellMar>
          <w:top w:w="28" w:type="dxa"/>
          <w:left w:w="28" w:type="dxa"/>
          <w:bottom w:w="28" w:type="dxa"/>
          <w:right w:w="28" w:type="dxa"/>
        </w:tblCellMar>
      </w:tblPr>
      <w:tblGrid>
        <w:gridCol w:w="2596"/>
        <w:gridCol w:w="146"/>
        <w:gridCol w:w="146"/>
        <w:gridCol w:w="751"/>
        <w:gridCol w:w="166"/>
        <w:gridCol w:w="146"/>
        <w:gridCol w:w="199"/>
        <w:gridCol w:w="522"/>
        <w:gridCol w:w="146"/>
        <w:gridCol w:w="146"/>
        <w:gridCol w:w="223"/>
        <w:gridCol w:w="648"/>
        <w:gridCol w:w="146"/>
        <w:gridCol w:w="146"/>
        <w:gridCol w:w="265"/>
        <w:gridCol w:w="815"/>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Intrinsic Value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Outstanding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Exercisable as of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January 31, 2026, the Co-Founders held options to purchase 340,676 shares of Class B common stock that vest upon the satisfaction of both a service and performance condition. The performance condition was satisfied upon the effectiveness of the IPO in fiscal 2025 and the service condition will be satisfied over a four-year period commencing on the IPO date with 25% vesting one year from the date of the IPO and the remainder vesting monthly thereafter. The awards expire ten years from issuance. The Company recognized stock-based compensation for these stock options of $0.2 million and $1.1 million in fiscal 2026 and fiscal 2025, respectively, and unrecognized stock-based compensation expense for these stock options was $0.2 million as of January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January 31, 2026, the Company had stock options outstanding to purchase 122,773 shares of Class A common stock that vest upon the satisfaction of both a service and performance condition. The performance condition was satisfied upon the effectiveness of the IPO in fiscal 2025 and the service condition will be satisfied over a one-year period commencing one year from the date of the IPO. The awards expire ten years from issuance. The Company recognized stock-based compensation expense for these stock options of $1.5 million and $4.8 million in fiscal 2026 and fiscal 2025, respectively, and unrecognized stock-based compensation expense for these stock options was $0.5 million as of January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fiscal 2024, the Company did not recognize any stock-based compensation expense associated with stock options containing a liquidity event-related performance condition as the achievement of such condition was not deemed probable.</w:t>
      </w:r>
    </w:p>
    <w:p>
      <w:pPr>
        <w:pStyle w:val="TextBody"/>
        <w:bidi w:val="0"/>
        <w:spacing w:before="240" w:after="283"/>
        <w:jc w:val="both"/>
        <w:rPr>
          <w:rFonts w:ascii="Times New Roman" w:hAnsi="Times New Roman"/>
          <w:sz w:val="20"/>
        </w:rPr>
      </w:pPr>
      <w:r>
        <w:rPr>
          <w:rFonts w:ascii="Times New Roman" w:hAnsi="Times New Roman"/>
          <w:caps/>
          <w:color w:val="000000"/>
          <w:sz w:val="20"/>
        </w:rPr>
        <w:t>A</w:t>
      </w:r>
      <w:r>
        <w:rPr>
          <w:rFonts w:ascii="Times New Roman" w:hAnsi="Times New Roman"/>
          <w:color w:val="000000"/>
          <w:sz w:val="20"/>
        </w:rPr>
        <w:t>s of January 31, 2026, the Company had options to purchase 224,348 shares of Class A common stock outstanding that cliff vest upon the achievement of a performance condition, and the employees providing continuous service to the Company through the date the performance condition was met. The Company recognized $3.5 million and $3.7 million in stock-based compensation expense in fiscal 2026 and fiscal 2025, respectively. In September 2025, the audit committee of the board of directors concluded that the performance condition related to these stock options was met during the three months ended July 31, 2025 and, as a result, there was no remaining unrecognized stock-based compensation for these stock options as of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Service-Only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RSUs subject to service-only vesting condition requirements consisted of the following:</w:t>
      </w:r>
    </w:p>
    <w:p>
      <w:pPr>
        <w:pStyle w:val="TextBody"/>
        <w:bidi w:val="0"/>
        <w:jc w:val="both"/>
        <w:rPr/>
      </w:pPr>
      <w:r>
        <w:rPr/>
        <w:t> </w:t>
      </w:r>
    </w:p>
    <w:tbl>
      <w:tblPr>
        <w:tblW w:w="7599" w:type="dxa"/>
        <w:jc w:val="left"/>
        <w:tblInd w:w="0" w:type="dxa"/>
        <w:tblLayout w:type="fixed"/>
        <w:tblCellMar>
          <w:top w:w="28" w:type="dxa"/>
          <w:left w:w="28" w:type="dxa"/>
          <w:bottom w:w="28" w:type="dxa"/>
          <w:right w:w="28" w:type="dxa"/>
        </w:tblCellMar>
      </w:tblPr>
      <w:tblGrid>
        <w:gridCol w:w="2401"/>
        <w:gridCol w:w="146"/>
        <w:gridCol w:w="146"/>
        <w:gridCol w:w="886"/>
        <w:gridCol w:w="166"/>
        <w:gridCol w:w="146"/>
        <w:gridCol w:w="243"/>
        <w:gridCol w:w="747"/>
        <w:gridCol w:w="146"/>
        <w:gridCol w:w="146"/>
        <w:gridCol w:w="494"/>
        <w:gridCol w:w="174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3,332,409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4,766,271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RSUs vest at varying rates, but generally either over four years with 25% vesting upon completion of one year of service and the remainder vesting quarterly thereafter, or ratably on a quarterly basis over four years. RSUs with service-only conditions are settled in Class A common stock upon vesting. The weighted average grant date fair value per share of RSUs granted during fiscal 2026, fiscal 2025, and fiscal 2024 was $115.08, $64.27, and $62.26 respectively. The total fair value of RSUs vested during fiscal 2026, fiscal 2025, and fiscal 2024 was $188.7 million, $48.8 million, and $49.3 million, respectively. Total unrecognized stock-based compensation expense related to RSUs as of January 31, 2026 was $415.9 million which is expected to be recognized over a remaining weighted average period of approximately 2.99 years.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RSUs with Performance or Market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RSU activity for awards with performance or market vesting conditions consisted of the following:</w:t>
      </w:r>
    </w:p>
    <w:p>
      <w:pPr>
        <w:pStyle w:val="TextBody"/>
        <w:bidi w:val="0"/>
        <w:jc w:val="both"/>
        <w:rPr/>
      </w:pPr>
      <w:r>
        <w:rPr/>
        <w:t> </w:t>
      </w:r>
    </w:p>
    <w:tbl>
      <w:tblPr>
        <w:tblW w:w="7539" w:type="dxa"/>
        <w:jc w:val="left"/>
        <w:tblInd w:w="0" w:type="dxa"/>
        <w:tblLayout w:type="fixed"/>
        <w:tblCellMar>
          <w:top w:w="28" w:type="dxa"/>
          <w:left w:w="28" w:type="dxa"/>
          <w:bottom w:w="28" w:type="dxa"/>
          <w:right w:w="28" w:type="dxa"/>
        </w:tblCellMar>
      </w:tblPr>
      <w:tblGrid>
        <w:gridCol w:w="2401"/>
        <w:gridCol w:w="146"/>
        <w:gridCol w:w="146"/>
        <w:gridCol w:w="826"/>
        <w:gridCol w:w="166"/>
        <w:gridCol w:w="146"/>
        <w:gridCol w:w="273"/>
        <w:gridCol w:w="717"/>
        <w:gridCol w:w="146"/>
        <w:gridCol w:w="146"/>
        <w:gridCol w:w="494"/>
        <w:gridCol w:w="174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br/>
              <w:t>Stock</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7,934,292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815,407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had previously issued RSUs that cliff vest upon the achievement of a performance condition, and the employees providing continuous service to the Company through the date the performance condition was met. The Company recognized a credit to stock-based compensation expense related to these awards of $0.7 million in fiscal 2026, primarily attributable to forfeitures resulting from employee terminations and the accounting impact of modifications to certain equity awards. The Company recognized $0.6 million in stock-based compensation expense in fiscal 2025. In September 2025, the audit committee of the board of directors concluded that the performance condition related to these RSUs was met during the three months ended July 31, 2025 and, as a result, all of such RSUs vested and settled in Class A common stock. As of January 31, 2026, none of these RSUs remained outstanding, and there was no remaining unrecognized stock-based compensation expense for these RSUs.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the Company had 558,698 RSUs outstanding that vest upon the satisfaction of both a performance and service condition, where the performance condition was satisfied upon the effectiveness of the IPO and the service condition is satisfied over a period of approximately four years from the date of grant subject to the employee continuing to provide service to the Company through the RSU Release Date. In addition, the Company had 76,859 RSUs outstanding that vest upon the satisfaction of a performance and a service condition, where the performance condition was satisfied upon the completion of the IPO and the service condition will be satisfied over four quarterly periods commencing approximately one year after the date of the IPO. During fiscal 2026 and fiscal 2025, the Company recognized stock-based compensation expense of $16.0 million and $47.2 million, respectively, related to these awards and unrecognized stock-based compensation expense for these RSUs was $11.4 million as of January 31, 2026. These RSUs are to be settled in Class A common stock upon vesting.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fiscal 2025 tender offer, the Company had 23,161 RSUs outstanding as of January 31, 2026 that vest upon the satisfaction of both a two-year service condition and a performance condition where the performance condition was satisfied upon the effectiveness of the IPO and the service condition is satisfied over a period of approximately two years from the date the tender offer closed, subject to the employee continuing to provide service to the Company through the RSU Release Date. During fiscal 2026 and fiscal 2025, the Company recognized stock-based compensation expense of $0.6 million and $1.4 million, respectively, related to these awards and unrecognized stock-based compensation expense for these RSUs was less than $0.1 million as of January 31, 2026. These RSUs are to be settled in Class A common stock upon vesting.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October 2024, the Company granted each of the Co-Founders an award of 3,241,544 performance-based RSUs (“Co-Founder RSUs”). Each performance-based RSU represents the right to be issued a share of Class B common stock following vesting. The performance-based RSUs vest on or after 180 days following the completion of an initial public offering based on achieving volume weighted-average closing trading prices of the Company’s common stock over a six-month or 90-day period, as applicable, ranging from $140.00 per share to $440.00 per share (the “stock price hurdle”), subject to the Co-Founders being employed as Chief Executive Officer, co-Chief Executive Officer or President as of the vesting date. Any RSUs for which the applicable stock price hurdle has not been achieved on or before October 21, 2034 will automatically be forfeited. The Company’s estimate of the grant date fair value of these RSUs of $263.6 million was estimated using a Monte Carlo simulation model that incorporates the likelihood of achieving the stock price hurdles. The Company commenced recognition of stock-based compensation expense upon completion of the IPO in fiscal 2025 over the estimated weighted-average derived service period of approximately five years, and recognized aggregate stock-based compensation for the portion of the service period satisfied through January 31, 2025 during the fourth quarter of fiscal 2025. During fiscal 2026 and fiscal 2025, the Company recognized stock-based compensation expense of $53.6 million and $15.0 million, respectively, related to these awards. Unrecognized stock-based compensation expense for these RSUs was $195.0 million as of January 31, 2026 and is expected to be recognized over the remaining derived service period for each stock price hurdle tranche, unless the stock price hurdle is achieved prior to the end of derived service period in which case the expense for that stock price hurdle will be accelerated. As of January 31, 2026, the weighted average remaining derived service period for these RSUs was 3.83 years. These RSUs are to be settled in Class B common stock upon vesting.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fiscal 2024, the Company did not recognize any stock-based compensation expense associated with RSUs containing a liquidity event-related performance condition as the achievement of such condition was not deemed probable.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domestic and foreign components of income (loss) before income taxes consists of the following (in thousands):</w:t>
      </w:r>
    </w:p>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2076"/>
        <w:gridCol w:w="146"/>
        <w:gridCol w:w="196"/>
        <w:gridCol w:w="751"/>
        <w:gridCol w:w="166"/>
        <w:gridCol w:w="146"/>
        <w:gridCol w:w="196"/>
        <w:gridCol w:w="751"/>
        <w:gridCol w:w="166"/>
        <w:gridCol w:w="146"/>
        <w:gridCol w:w="196"/>
        <w:gridCol w:w="751"/>
        <w:gridCol w:w="3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income tax provision consists of the following (in thousands, except percentages):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28" w:type="dxa"/>
        <w:jc w:val="left"/>
        <w:tblInd w:w="0" w:type="dxa"/>
        <w:tblLayout w:type="fixed"/>
        <w:tblCellMar>
          <w:top w:w="28" w:type="dxa"/>
          <w:left w:w="28" w:type="dxa"/>
          <w:bottom w:w="28" w:type="dxa"/>
          <w:right w:w="28" w:type="dxa"/>
        </w:tblCellMar>
      </w:tblPr>
      <w:tblGrid>
        <w:gridCol w:w="3676"/>
        <w:gridCol w:w="146"/>
        <w:gridCol w:w="196"/>
        <w:gridCol w:w="511"/>
        <w:gridCol w:w="301"/>
        <w:gridCol w:w="146"/>
        <w:gridCol w:w="196"/>
        <w:gridCol w:w="511"/>
        <w:gridCol w:w="301"/>
        <w:gridCol w:w="146"/>
        <w:gridCol w:w="196"/>
        <w:gridCol w:w="511"/>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Total–current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Total–deferred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reconciliation of the U.S. Federal statutory rate to the Company’s effective tax rate is as follows (in thousands, except percentages):</w:t>
      </w:r>
    </w:p>
    <w:p>
      <w:pPr>
        <w:pStyle w:val="TextBody"/>
        <w:bidi w:val="0"/>
        <w:jc w:val="left"/>
        <w:rPr/>
      </w:pPr>
      <w:r>
        <w:rPr/>
        <w:t> </w:t>
      </w:r>
    </w:p>
    <w:tbl>
      <w:tblPr>
        <w:tblW w:w="6224" w:type="dxa"/>
        <w:jc w:val="left"/>
        <w:tblInd w:w="0" w:type="dxa"/>
        <w:tblLayout w:type="fixed"/>
        <w:tblCellMar>
          <w:top w:w="28" w:type="dxa"/>
          <w:left w:w="28" w:type="dxa"/>
          <w:bottom w:w="28" w:type="dxa"/>
          <w:right w:w="28" w:type="dxa"/>
        </w:tblCellMar>
      </w:tblPr>
      <w:tblGrid>
        <w:gridCol w:w="3781"/>
        <w:gridCol w:w="146"/>
        <w:gridCol w:w="196"/>
        <w:gridCol w:w="751"/>
        <w:gridCol w:w="166"/>
        <w:gridCol w:w="146"/>
        <w:gridCol w:w="146"/>
        <w:gridCol w:w="481"/>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at federal statutory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State income taxes, net of federal income tax effect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Non-deductible 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states and local jurisdictions that contribute to the majority (greater than 50%) of the tax effect in this category include Texas, Colorado, Oregon, Illinois, New Jersey, and Pennsylvania.</w:t>
      </w:r>
    </w:p>
    <w:p>
      <w:pPr>
        <w:pStyle w:val="TextBody"/>
        <w:bidi w:val="0"/>
        <w:jc w:val="both"/>
        <w:rPr/>
      </w:pPr>
      <w:r>
        <w:rPr/>
        <w:t> </w:t>
      </w:r>
    </w:p>
    <w:tbl>
      <w:tblPr>
        <w:tblW w:w="6834" w:type="dxa"/>
        <w:jc w:val="left"/>
        <w:tblInd w:w="0" w:type="dxa"/>
        <w:tblLayout w:type="fixed"/>
        <w:tblCellMar>
          <w:top w:w="28" w:type="dxa"/>
          <w:left w:w="28" w:type="dxa"/>
          <w:bottom w:w="28" w:type="dxa"/>
          <w:right w:w="28" w:type="dxa"/>
        </w:tblCellMar>
      </w:tblPr>
      <w:tblGrid>
        <w:gridCol w:w="3936"/>
        <w:gridCol w:w="146"/>
        <w:gridCol w:w="196"/>
        <w:gridCol w:w="751"/>
        <w:gridCol w:w="301"/>
        <w:gridCol w:w="146"/>
        <w:gridCol w:w="196"/>
        <w:gridCol w:w="751"/>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(236,776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at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State taxes (net of federal benefit of state deduction)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Non-deductible executive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temporary differences, which give rise to the Company’s deferred tax assets and liabilities consisted of the following (in thousands):</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3436"/>
        <w:gridCol w:w="146"/>
        <w:gridCol w:w="196"/>
        <w:gridCol w:w="751"/>
        <w:gridCol w:w="166"/>
        <w:gridCol w:w="146"/>
        <w:gridCol w:w="196"/>
        <w:gridCol w:w="75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and other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Depreciable and amortizable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bonus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355,134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(42,987</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determining the need for a valuation allowance, management reviewed all available positive and negative evidence, primarily the prior and forecasted losses of the Company, and determined its U.S. deferred tax assets are not realizable under the more-likely-than-not measurement, and as such, a full valuation allowance was recorded against U.S. deferred tax assets as of January 31,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Company’s certain prior acquisitions, the Company generated indefinite-lived deferred tax liabilities from tax amortizable goodwill, which are not an available source of income for the realization of definite-lived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 in the Company’s valuation allowance (in thousands):</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3091"/>
        <w:gridCol w:w="146"/>
        <w:gridCol w:w="196"/>
        <w:gridCol w:w="691"/>
        <w:gridCol w:w="146"/>
        <w:gridCol w:w="146"/>
        <w:gridCol w:w="196"/>
        <w:gridCol w:w="691"/>
        <w:gridCol w:w="146"/>
        <w:gridCol w:w="146"/>
        <w:gridCol w:w="196"/>
        <w:gridCol w:w="69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recognized in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related to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January 31, 2026, the Company had cumulative U.S. net operating losses (“NOLs”) consisting of carryforwards for federal income tax purposes of $795.1 million, which have an indefinite carryforward period. As of January 31, 2026, the Company had cumulative state NOL carryforwards of $470.1 million. State NOL carryforwards will begin to expire in fiscal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January 31, 2026, the Company has federal research tax credit carryforwards of $60.1 million and state research tax credit carryforwards of $30.9 million. The Company’s federal research tax credit carryforwards will begin to expire in fiscal 2037, while its state research tax credit carryforwards will begin to expire in fiscal 2029. As of January 31, 2026, the Company has other state tax credit carryforwards of $1.0 million. The carryforwards will begin to expire in fiscal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NOLs and tax credit carryforwards may become subject to an annual limitation in the event of certain cumulative changes in the ownership interest of significant stockholders over a three-year period in excess of 50%, as defined under Sections 382 and 383 of the Internal Revenue Code as well as similar state provisions. This could limit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amount of tax attributes that can be utilized annually to offset future taxable income or tax liabilities. The amount of the annual limitation is determined based on the value of the Company immediately prior to the ownership change. The Company conducted a formal study through January 31, 2026 that concluded that there had been prior ownership changes and that the Company's utilization of pre-change tax attribute carryforwards will be subject to annual limitations. However, it is not expected that the annual limitations will result in the expiration of tax attribute carryforwards prior to utilization. Similar provisions of state tax law may also apply to limit the use of the Company's state tax attribute carryforwards.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Uncertain Tax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provided what it believes to be an appropriate amount of tax for items that involve interpretation of the tax law. However, events may occur in the future that will cause the Company to reevaluate its current reserves and may result in an adjustment to the reserve for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change in the Company’s reserve for unrecognized tax benefits (in thousands):</w:t>
      </w:r>
    </w:p>
    <w:p>
      <w:pPr>
        <w:pStyle w:val="TextBody"/>
        <w:bidi w:val="0"/>
        <w:jc w:val="left"/>
        <w:rPr/>
      </w:pPr>
      <w:r>
        <w:rPr/>
        <w:t> </w:t>
      </w:r>
    </w:p>
    <w:tbl>
      <w:tblPr>
        <w:tblW w:w="6063" w:type="dxa"/>
        <w:jc w:val="left"/>
        <w:tblInd w:w="0" w:type="dxa"/>
        <w:tblLayout w:type="fixed"/>
        <w:tblCellMar>
          <w:top w:w="28" w:type="dxa"/>
          <w:left w:w="28" w:type="dxa"/>
          <w:bottom w:w="28" w:type="dxa"/>
          <w:right w:w="28" w:type="dxa"/>
        </w:tblCellMar>
      </w:tblPr>
      <w:tblGrid>
        <w:gridCol w:w="2731"/>
        <w:gridCol w:w="146"/>
        <w:gridCol w:w="196"/>
        <w:gridCol w:w="601"/>
        <w:gridCol w:w="166"/>
        <w:gridCol w:w="146"/>
        <w:gridCol w:w="196"/>
        <w:gridCol w:w="601"/>
        <w:gridCol w:w="146"/>
        <w:gridCol w:w="146"/>
        <w:gridCol w:w="196"/>
        <w:gridCol w:w="601"/>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due to new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due to existing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Decrease due to existing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due to acquired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January 31, 2026, the Company had $23.4 million of gross unrecognized tax benefits, of which an immaterial amount would impact the effective tax rate, if recognized. The remaining gross unrecognized tax benefits relate to income tax positions which, if recognized, would not impact the effective rate due to the valuation allowance against its federal and state deferred taxes.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paid for income taxes, net of refunds, by jurisdiction for fiscal 2026 is as follows (in thousands):</w:t>
      </w:r>
    </w:p>
    <w:p>
      <w:pPr>
        <w:pStyle w:val="TextBody"/>
        <w:bidi w:val="0"/>
        <w:spacing w:before="40" w:after="283"/>
        <w:jc w:val="both"/>
        <w:rPr/>
      </w:pPr>
      <w:r>
        <w:rPr/>
        <w:t> </w:t>
      </w:r>
    </w:p>
    <w:tbl>
      <w:tblPr>
        <w:tblW w:w="3240" w:type="dxa"/>
        <w:jc w:val="left"/>
        <w:tblInd w:w="0" w:type="dxa"/>
        <w:tblLayout w:type="fixed"/>
        <w:tblCellMar>
          <w:top w:w="28" w:type="dxa"/>
          <w:left w:w="28" w:type="dxa"/>
          <w:bottom w:w="28" w:type="dxa"/>
          <w:right w:w="28" w:type="dxa"/>
        </w:tblCellMar>
      </w:tblPr>
      <w:tblGrid>
        <w:gridCol w:w="2071"/>
        <w:gridCol w:w="146"/>
        <w:gridCol w:w="196"/>
        <w:gridCol w:w="436"/>
        <w:gridCol w:w="3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Armenia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income taxes paid,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files income tax returns in the U.S. federal jurisdiction and various state jurisdictions. No tax years for the Company are currently under examination by the U.S. Internal Revenue Service or state and local tax authorities for income tax purposes. Due to net operating loss and tax credit carryforwards, all years are open for examination and may become subject to examination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files income tax returns in Armenia, starting in 2019. The Company’s tax return for 2021, through 2025 are subject to regular audit by the Armenian tax authorities for income tax purposes in fiscal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files income tax returns in Canada, starting in 2023. No tax years for the Company are currently under examination by the Canadian tax authorities for income tax purposes. The Company’s fiscal 2023 through fiscal 2025 remain open for examination and assessment.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rights, including the liquidation and dividend rights, of the holders of Class A and Class B common stock are identical, except with respect to voting, conversion, and transfer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attributable to common stockholders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88"/>
        <w:gridCol w:w="146"/>
        <w:gridCol w:w="196"/>
        <w:gridCol w:w="916"/>
        <w:gridCol w:w="166"/>
        <w:gridCol w:w="146"/>
        <w:gridCol w:w="196"/>
        <w:gridCol w:w="916"/>
        <w:gridCol w:w="166"/>
        <w:gridCol w:w="146"/>
        <w:gridCol w:w="196"/>
        <w:gridCol w:w="916"/>
        <w:gridCol w:w="211"/>
      </w:tblGrid>
      <w:tr>
        <w:trPr/>
        <w:tc>
          <w:tcPr>
            <w:tcW w:w="5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NCPS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round adjustment for Series F, G and H-1 redeemable convertible preferred stock upon completion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Ratchet adjustment for Series H redeemable convertible preferred stock upon completion of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Extinguishment of NCPS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shares outstanding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92,378,699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42,148,552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33,267,131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were excluded from the computation of diluted net loss per share attributable to common stockholders as of January 31, 2026, 2025 and 2024 because including them would have been anti-dilutive:</w:t>
      </w:r>
    </w:p>
    <w:p>
      <w:pPr>
        <w:pStyle w:val="TextBody"/>
        <w:bidi w:val="0"/>
        <w:jc w:val="left"/>
        <w:rPr/>
      </w:pPr>
      <w:r>
        <w:rPr/>
        <w:t> </w:t>
      </w:r>
    </w:p>
    <w:tbl>
      <w:tblPr>
        <w:tblW w:w="7753" w:type="dxa"/>
        <w:jc w:val="left"/>
        <w:tblInd w:w="0" w:type="dxa"/>
        <w:tblLayout w:type="fixed"/>
        <w:tblCellMar>
          <w:top w:w="28" w:type="dxa"/>
          <w:left w:w="28" w:type="dxa"/>
          <w:bottom w:w="28" w:type="dxa"/>
          <w:right w:w="28" w:type="dxa"/>
        </w:tblCellMar>
      </w:tblPr>
      <w:tblGrid>
        <w:gridCol w:w="3826"/>
        <w:gridCol w:w="146"/>
        <w:gridCol w:w="146"/>
        <w:gridCol w:w="826"/>
        <w:gridCol w:w="146"/>
        <w:gridCol w:w="146"/>
        <w:gridCol w:w="146"/>
        <w:gridCol w:w="826"/>
        <w:gridCol w:w="146"/>
        <w:gridCol w:w="146"/>
        <w:gridCol w:w="146"/>
        <w:gridCol w:w="916"/>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January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42,465,855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service-only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5,806,607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6,804,979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service-only conditions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4,766,271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4,142,583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with performance or market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1,176,924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early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RSAs with service-only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Acquisition indemnity shares withheld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Unvested RSUs with performance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7,143,762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7,934,292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578,651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employee savings and retirement plan (the “401(k) Plan”) for its eligible employees. The 401(k) Plan is available to all U.S. employees and provides employees with tax-deferred salary deductions and alternative investment options. Employees may contribute up to the federal limitation for that year. For fiscal 2026, fiscal 2025, and fiscal 2024, the Company expensed $10.5 million, $10.0 million, and $8.4 million, respectively,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discretionary employer matching contributions, of which $2.2 million and $2.1 million was accrued for and included in accrued personnel-related expenses as of January 31,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also has employee savings and retirement plans in other countries, which are not material.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Restructuring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fiscal 2026, the Company did not have restructuring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the Company committed to a plan to align its investments more closely with its strategic priorities by reducing the Company’s workforce by 42 employees. The Company incurred total pre-tax charges of approximately $2.5 million of employee-related costs, including severance and other termination benefits, which were paid in fiscal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February 2023, the Company committed to a plan to align its investments more closely with its strategic priorities by reducing the Company’s workforce by 221 employees. The Company incurred total pre-tax charges of approximately $8.2 million of employee-related costs, including severance and other termination benefits, which were paid in fiscal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restructuring charge by line item in the consolidated statements of operations for these events is summarized as follows (in thousands):</w:t>
      </w:r>
    </w:p>
    <w:p>
      <w:pPr>
        <w:pStyle w:val="TextBody"/>
        <w:bidi w:val="0"/>
        <w:jc w:val="left"/>
        <w:rPr/>
      </w:pPr>
      <w:r>
        <w:rPr/>
        <w:t> </w:t>
      </w:r>
    </w:p>
    <w:tbl>
      <w:tblPr>
        <w:tblW w:w="4699" w:type="dxa"/>
        <w:jc w:val="left"/>
        <w:tblInd w:w="0" w:type="dxa"/>
        <w:tblLayout w:type="fixed"/>
        <w:tblCellMar>
          <w:top w:w="28" w:type="dxa"/>
          <w:left w:w="28" w:type="dxa"/>
          <w:bottom w:w="28" w:type="dxa"/>
          <w:right w:w="28" w:type="dxa"/>
        </w:tblCellMar>
      </w:tblPr>
      <w:tblGrid>
        <w:gridCol w:w="2656"/>
        <w:gridCol w:w="146"/>
        <w:gridCol w:w="196"/>
        <w:gridCol w:w="511"/>
        <w:gridCol w:w="146"/>
        <w:gridCol w:w="146"/>
        <w:gridCol w:w="196"/>
        <w:gridCol w:w="511"/>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Platform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services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3" w:name="item_9_changes_in_and_disagreements"/>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20" w:after="283"/>
        <w:jc w:val="both"/>
        <w:rPr>
          <w:rFonts w:ascii="Times New Roman" w:hAnsi="Times New Roman"/>
          <w:b/>
          <w:color w:val="000000"/>
          <w:sz w:val="20"/>
        </w:rPr>
      </w:pPr>
      <w:bookmarkStart w:id="24" w:name="item_9a_controls_and_procedures"/>
      <w:bookmarkEnd w:id="24"/>
      <w:r>
        <w:rPr>
          <w:rFonts w:ascii="Times New Roman" w:hAnsi="Times New Roman"/>
          <w:b/>
          <w:color w:val="000000"/>
          <w:sz w:val="20"/>
        </w:rPr>
        <w:t>Item 9A.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Limitations on Effectiveness of Disclosure Controls and Procedures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January 31, 2026. </w:t>
      </w:r>
    </w:p>
    <w:p>
      <w:pPr>
        <w:pStyle w:val="TextBody"/>
        <w:bidi w:val="0"/>
        <w:spacing w:before="240" w:after="283"/>
        <w:jc w:val="both"/>
        <w:rPr>
          <w:rFonts w:ascii="Times New Roman" w:hAnsi="Times New Roman"/>
          <w:color w:val="231F20"/>
          <w:sz w:val="20"/>
        </w:rPr>
      </w:pPr>
      <w:r>
        <w:rPr>
          <w:rFonts w:ascii="Times New Roman" w:hAnsi="Times New Roman"/>
          <w:color w:val="231F20"/>
          <w:sz w:val="20"/>
        </w:rPr>
        <w:t>Based on that evaluation, our principal executive officer and principal financial officer concluded that, as of January 31, 2026, our disclosure controls and procedures were effective at the reasonable assurance level.</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Management’s Annual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January 31, 2026, our management assessed the effectiveness of our internal control over financial reporting using the criteria set forth in the </w:t>
      </w:r>
      <w:r>
        <w:rPr>
          <w:rFonts w:ascii="Times New Roman" w:hAnsi="Times New Roman"/>
          <w:i/>
          <w:color w:val="000000"/>
          <w:sz w:val="20"/>
        </w:rPr>
        <w:t>Internal Control – Integrated Framework</w:t>
      </w:r>
      <w:r>
        <w:rPr>
          <w:rFonts w:ascii="Times New Roman" w:hAnsi="Times New Roman"/>
          <w:color w:val="000000"/>
          <w:sz w:val="20"/>
        </w:rPr>
        <w:t xml:space="preserve"> (2013) as issued by the Committee of Sponsoring Organizations (COSO) of the Treadway Commission. Based on this evaluation under the COSO criteria, our management concluded that our internal control over financial reporting was effective as of January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internal control over financial reporting as of January 31, 2026 has been audited by PricewaterhouseCoopers LLP, an independent registered public accounting firm, as stated in their report appearing under Item 8.</w:t>
      </w:r>
    </w:p>
    <w:p>
      <w:pPr>
        <w:pStyle w:val="TextBody"/>
        <w:bidi w:val="0"/>
        <w:spacing w:before="360" w:after="283"/>
        <w:jc w:val="both"/>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There were no changes in our internal control over financial reporting identified in connection with the evaluation required by Rules 13a-15(d) and 15d-15(d) of the Exchange Act during the quarter ended January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5" w:name="item_9b_other_information"/>
      <w:bookmarkEnd w:id="25"/>
      <w:r>
        <w:rPr>
          <w:rFonts w:ascii="Times New Roman" w:hAnsi="Times New Roman"/>
          <w:b/>
          <w:color w:val="000000"/>
          <w:sz w:val="20"/>
        </w:rPr>
        <w:t>Item 9B.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Disclosure in lieu of reporting on a Current Report on Form 8-K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Insider trading arrangements and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January 31, 2026, none of our directors or officers (as defined in Rule 16a-1(f) under the Exchange Act) adopted, modified, or terminated a “Rule 10b5-1 trading arrangement” or “non-Rule 10b5-1 trading arrangement,” as each term is defined in Item 408 of Regulation S-K, except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12, 2026, Tim Cabral, a member of our board of directors, adopted a Rule 10b5-1(c) trading arrangement intended to satisfy the affirmative defense of Rule 10b5-1(c). Mr. Cabral’s Rule 10b5-1 trading plan provides for the sale, from time to time, of up to a maximum of 18,000 shares of our Class A common stock. Mr. Cabral’s Rule 10b5-1 trading plan expires on January 12,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2026, Ara Mahdessian, our Chief Executive Officer and a member of our board of directors, adopted a Rule 10b5-1(c) trading arrangement intended to satisfy the affirmative defense of Rule 10b5-1(c). Mr. Mahdessian’s Rule 10b5-1 trading plan provides for the sale, from time to time, of up to a maximum of 450,000 shares of our Class A common stock. Mr. Mahdessian’s Rule 10b5-1 trading plan expires on January 22,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2026, Vahe Kuzoyan, our President and a member of our board of directors, adopted a Rule 10b5-1(c) trading arrangement intended to satisfy the affirmative defense of Rule 10b5-1(c). Mr. Kuzoyan’s Rule 10b5-1 trading plan provides for the sale, from time to time, of up to a maximum of 295,000 shares of our Class A common stock. Mr. Kuzoyan’s Rule 10b5-1 trading plan expires on January 20,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15, 2026, Dave Sherry, our Chief Financial Officer, adopted a Rule 10b5-1(c) trading arrangement intended to satisfy the affirmative defense of Rule 10b5-1(c). Mr. Sherry’s Rule 10b5-1 trading plan provides for the sale, from time to time, of up to a maximum of 54,552 shares of our Class A common stock. Mr. Sherry’s Rule 10b5-1 trading plan expires on January 15, 2027.</w:t>
      </w:r>
    </w:p>
    <w:p>
      <w:pPr>
        <w:pStyle w:val="TextBody"/>
        <w:bidi w:val="0"/>
        <w:spacing w:before="360" w:after="283"/>
        <w:jc w:val="both"/>
        <w:rPr>
          <w:rFonts w:ascii="Times New Roman" w:hAnsi="Times New Roman"/>
          <w:b/>
          <w:color w:val="000000"/>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both"/>
        <w:rPr>
          <w:rFonts w:ascii="Times New Roman" w:hAnsi="Times New Roman"/>
          <w:b/>
          <w:color w:val="000000"/>
          <w:sz w:val="20"/>
        </w:rPr>
      </w:pPr>
      <w:bookmarkStart w:id="27" w:name="item_10_directors_executive_officers"/>
      <w:bookmarkEnd w:id="27"/>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Code of Ethics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adopted a Code of Business Conduct (the “Code”) that applies to our officers, directors and employees, which is available on our website (investors.servicetitan.com) under “Governance.” The Code is intended to qualify as a “code of ethics” within the meaning of Section 406 of the Sarbanes-Oxley Act of 2002, as amended, and Item 406 of Regulation S-K. We intend to satisfy the disclosure required by the SEC or Nasdaq listing standards regarding any amendments to, or waivers from, a provision of our Code by posting such information on our website (investors.servicetitan.com). The information contained on our website is not incorporated by reference into this Form 10-K. We granted no waivers under our Code in fiscal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Insider Trading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is filed with this Annual Report on Form 10-K as Exhibit 19.1.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remaining information required by this Item 10 is incorporated by reference to the definitive Proxy Statement for our 2026 Annual Meeting of Stockholders, which will be filed with the SEC no later than 120 days after January 31,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Information About our Executive Officers &amp;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information regarding our executive officers and members of our board of directors (ages are calculated as of March 23,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8"/>
        <w:gridCol w:w="146"/>
        <w:gridCol w:w="391"/>
        <w:gridCol w:w="146"/>
        <w:gridCol w:w="4386"/>
        <w:gridCol w:w="146"/>
        <w:gridCol w:w="3742"/>
      </w:tblGrid>
      <w:tr>
        <w:trPr/>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Employment</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Ara Mahdessian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Co-Founder, Chief Executive Officer, Chairperson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Same</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Vahe Kuzoyan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Co-Founder, President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Same</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Dave Sherry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Same</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Nina Achadjian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 at Index Ventures</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Michael Brown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 at Battery Ventures</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Tim Cabral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Lead Independent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Former Chief Financial Officer at Veeva Systems Inc.</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Byron Deeter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 at Bessemer Venture Partners</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Ilya Golubovich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Business Officer at A2VE Capital Advisors Ltd.</w:t>
            </w:r>
          </w:p>
        </w:tc>
      </w:tr>
      <w:tr>
        <w:trPr/>
        <w:tc>
          <w:tcPr>
            <w:tcW w:w="1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William Griffith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 at ICONIQ Capital, LLC</w:t>
            </w:r>
          </w:p>
        </w:tc>
      </w:tr>
      <w:tr>
        <w:trPr/>
        <w:tc>
          <w:tcPr>
            <w:tcW w:w="1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William Hsu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Partner at Mucker Capital</w:t>
            </w:r>
          </w:p>
        </w:tc>
      </w:tr>
    </w:tbl>
    <w:p>
      <w:pPr>
        <w:pStyle w:val="TextBody"/>
        <w:bidi w:val="0"/>
        <w:spacing w:before="360" w:after="283"/>
        <w:jc w:val="both"/>
        <w:rPr>
          <w:rFonts w:ascii="Times New Roman" w:hAnsi="Times New Roman"/>
          <w:b/>
          <w:color w:val="000000"/>
          <w:sz w:val="20"/>
        </w:rPr>
      </w:pPr>
      <w:bookmarkStart w:id="28" w:name="item_11_executive_compensation"/>
      <w:bookmarkEnd w:id="28"/>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January 31, 2026.</w:t>
      </w:r>
    </w:p>
    <w:p>
      <w:pPr>
        <w:pStyle w:val="TextBody"/>
        <w:bidi w:val="0"/>
        <w:spacing w:before="360" w:after="283"/>
        <w:jc w:val="both"/>
        <w:rPr>
          <w:rFonts w:ascii="Times New Roman" w:hAnsi="Times New Roman"/>
          <w:b/>
          <w:color w:val="000000"/>
          <w:sz w:val="20"/>
        </w:rPr>
      </w:pPr>
      <w:bookmarkStart w:id="29" w:name="item_12_security_ownership"/>
      <w:bookmarkEnd w:id="29"/>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January 31, 2026.</w:t>
      </w:r>
    </w:p>
    <w:p>
      <w:pPr>
        <w:pStyle w:val="TextBody"/>
        <w:bidi w:val="0"/>
        <w:spacing w:before="360" w:after="283"/>
        <w:jc w:val="both"/>
        <w:rPr>
          <w:rFonts w:ascii="Times New Roman" w:hAnsi="Times New Roman"/>
          <w:b/>
          <w:color w:val="000000"/>
          <w:sz w:val="20"/>
        </w:rPr>
      </w:pPr>
      <w:bookmarkStart w:id="30" w:name="item_13_certain_relationships"/>
      <w:bookmarkEnd w:id="30"/>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31" w:name="item_14_principal_accounting_fees"/>
      <w:bookmarkEnd w:id="31"/>
      <w:r>
        <w:rPr>
          <w:rFonts w:ascii="Times New Roman" w:hAnsi="Times New Roman"/>
          <w:b/>
          <w:color w:val="000000"/>
          <w:sz w:val="20"/>
        </w:rPr>
        <w:t>Item 14. Principal Accountant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definitive Proxy Statement for our 2026 Annual Meeting of Stockholders, which will be filed with the SEC no later than 120 days after January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2" w:name="item_15_exhibits_financial_statement"/>
      <w:bookmarkEnd w:id="32"/>
      <w:r>
        <w:rPr>
          <w:rFonts w:ascii="Times New Roman" w:hAnsi="Times New Roman"/>
          <w:b/>
          <w:color w:val="000000"/>
          <w:sz w:val="20"/>
        </w:rPr>
        <w:t>Item 15. Exhibits and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filed as a part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pPr>
      <w:r>
        <w:rPr>
          <w:rFonts w:ascii="Times New Roman" w:hAnsi="Times New Roman"/>
          <w:color w:val="000000"/>
          <w:sz w:val="20"/>
        </w:rPr>
        <w:t>Financial Statements.</w:t>
      </w:r>
      <w:r>
        <w:rPr>
          <w:rFonts w:ascii="Times New Roman" w:hAnsi="Times New Roman"/>
          <w:color w:val="FFFFFF"/>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Consolidated Financial Statements are listed in the “Index to Consolidated Financial Statements” under Part II, Item 8 of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financial statement schedules have been omitted, as the information is not applicable or is not required under the related instructions, or because the information required is already included in the financial statements or the notes thereto.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filed the exhibits listed on the accompanying Exhibit Index, which is incorporated herein by reference.</w:t>
      </w:r>
    </w:p>
    <w:p>
      <w:pPr>
        <w:pStyle w:val="TextBody"/>
        <w:bidi w:val="0"/>
        <w:spacing w:before="360" w:after="283"/>
        <w:jc w:val="both"/>
        <w:rPr>
          <w:rFonts w:ascii="Times New Roman" w:hAnsi="Times New Roman"/>
          <w:b/>
          <w:color w:val="000000"/>
          <w:sz w:val="20"/>
        </w:rPr>
      </w:pPr>
      <w:bookmarkStart w:id="33" w:name="item_6_exhibits"/>
      <w:bookmarkEnd w:id="33"/>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56"/>
        <w:gridCol w:w="146"/>
        <w:gridCol w:w="511"/>
        <w:gridCol w:w="146"/>
        <w:gridCol w:w="846"/>
        <w:gridCol w:w="146"/>
        <w:gridCol w:w="631"/>
        <w:gridCol w:w="146"/>
        <w:gridCol w:w="667"/>
        <w:gridCol w:w="146"/>
        <w:gridCol w:w="1012"/>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3"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 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001-42434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4_1.htm">
              <w:r>
                <w:rPr>
                  <w:rStyle w:val="InternetLink"/>
                  <w:rFonts w:ascii="Times New Roman" w:hAnsi="Times New Roman"/>
                  <w:color w:val="0000FF"/>
                  <w:sz w:val="20"/>
                  <w:u w:val="single"/>
                </w:rPr>
                <w:t>Description of Securities Registered Pursuant to Section 12 of the Securities Exchange Act of 1934.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A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Class B Common Stock Certificate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Investors’ Rights Agreement, by and among ServiceTitan, Inc. and certain holders of its capital stock, dated as of July 27, 2023.</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Indemnification and Advancement Agreement between ServiceTitan, Inc. and each of its directors and executive officers.</w:t>
              </w:r>
            </w:hyperlink>
            <w:hyperlink r:id="rId9">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10_2.htm">
              <w:r>
                <w:rPr>
                  <w:rStyle w:val="InternetLink"/>
                  <w:rFonts w:ascii="Times New Roman" w:hAnsi="Times New Roman"/>
                  <w:color w:val="0000FF"/>
                  <w:sz w:val="20"/>
                  <w:u w:val="single"/>
                </w:rPr>
                <w:t>ServiceTitan, Inc. 2024 Incentive Award Plan and related form agreements.</w:t>
              </w:r>
            </w:hyperlink>
            <w:hyperlink w:anchor="ttan-ex10_2.htm">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10_3.htm">
              <w:r>
                <w:rPr>
                  <w:rStyle w:val="InternetLink"/>
                  <w:rFonts w:ascii="Times New Roman" w:hAnsi="Times New Roman"/>
                  <w:color w:val="0000FF"/>
                  <w:sz w:val="20"/>
                  <w:u w:val="single"/>
                </w:rPr>
                <w:t>ServiceTitan, Inc. 2024 Employee Stock Purchase Plan and related form agreements.</w:t>
              </w:r>
            </w:hyperlink>
            <w:hyperlink w:anchor="ttan-ex10_3.htm">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Conduit Tech, Inc. 2022 Stock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ServiceTitan, Inc. 2015 Stock Plan and related form agreements.</w:t>
              </w:r>
            </w:hyperlink>
            <w:hyperlink r:id="rId12">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ServiceTitan, Inc. 2007 Stock Plan and related form agreements.</w:t>
              </w:r>
            </w:hyperlink>
            <w:hyperlink r:id="rId14">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Office Lease, by and between ServiceTitan, Inc. and BRE Brand Central Holdings L.L.C. (as succeeded by SPUS8 Glendale, LP), dated as of June 30, 2015, as amended April 17, 2017,</w:t>
              </w:r>
            </w:hyperlink>
            <w:hyperlink r:id="rId16">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
        <w:gridCol w:w="146"/>
        <w:gridCol w:w="6001"/>
        <w:gridCol w:w="146"/>
        <w:gridCol w:w="399"/>
        <w:gridCol w:w="146"/>
        <w:gridCol w:w="785"/>
        <w:gridCol w:w="146"/>
        <w:gridCol w:w="585"/>
        <w:gridCol w:w="146"/>
        <w:gridCol w:w="590"/>
        <w:gridCol w:w="146"/>
        <w:gridCol w:w="288"/>
      </w:tblGrid>
      <w:tr>
        <w:trPr/>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November 9, 2017, March 19, 2018 and June 11, 2020.</w:t>
              </w:r>
            </w:hyperlink>
            <w:hyperlink r:id="rId18">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Office Lease, by and between ServiceTitan, Inc. and BCSP 800 North Brand Property LLC, dated as of January 10, 2019, as amended April 24, 2019, October 18, 2019, January 1, 2020, January 17, 2020, January 22, 2020, April 5, 2021, September 9, 2021, December 20, 2021, January 19, 2022, June 10, 2024, July 10, 2024 and July 17, 2024.</w:t>
              </w:r>
            </w:hyperlink>
            <w:hyperlink r:id="rId20">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10_9.htm">
              <w:r>
                <w:rPr>
                  <w:rStyle w:val="InternetLink"/>
                  <w:rFonts w:ascii="Times New Roman" w:hAnsi="Times New Roman"/>
                  <w:color w:val="0000FF"/>
                  <w:sz w:val="20"/>
                  <w:u w:val="single"/>
                </w:rPr>
                <w:t>Credit Agreement, by and among ServiceTitan, Inc., Wells Fargo Bank, National Association, as administrative agent and collateral agent, each lender from time to time party thereto, each swing line lender and each letter of credit issuer from time to time party thereto, dated as of January 23, 2023, as amended by Amendment Number One, dated as of September 27, 2024 and Amendment Number Two, dated as of January 30,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10.10(a)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ServiceTitan, Inc. Change in Control and Severance Policy.</w:t>
              </w:r>
            </w:hyperlink>
            <w:hyperlink r:id="rId22">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Participation Agreement for ServiceTitan, Inc. Change in Control and Severance Policy.</w:t>
              </w:r>
            </w:hyperlink>
            <w:hyperlink r:id="rId24">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Amended and Restated Employment Offer Letter, by and between ServiceTitan, Inc. and David Sherry, dated as of November 15, 2024.</w:t>
              </w:r>
            </w:hyperlink>
            <w:hyperlink r:id="rId26">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Exchange Agreement, by and among ServiceTitan, Inc. and the stockholders listed therein, dated as of December 2, 2024.</w:t>
              </w:r>
            </w:hyperlink>
            <w:hyperlink r:id="rId28">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ServiceTitan, Inc. Non-Employee Director Compensation Program.</w:t>
              </w:r>
            </w:hyperlink>
            <w:hyperlink r:id="rId30">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333-283296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ServiceTitan, Inc. Insider Trading Policies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001-42434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21_1.htm">
              <w:r>
                <w:rPr>
                  <w:rStyle w:val="InternetLink"/>
                  <w:rFonts w:ascii="Times New Roman" w:hAnsi="Times New Roman"/>
                  <w:color w:val="0000FF"/>
                  <w:sz w:val="20"/>
                  <w:u w:val="single"/>
                </w:rPr>
                <w:t>List of subsidiaries of ServiceTitan,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23_1.htm">
              <w:r>
                <w:rPr>
                  <w:rStyle w:val="InternetLink"/>
                  <w:rFonts w:ascii="Times New Roman" w:hAnsi="Times New Roman"/>
                  <w:color w:val="0000FF"/>
                  <w:sz w:val="20"/>
                  <w:u w:val="single"/>
                </w:rPr>
                <w:t>Consent of PricewaterhouseCoopers LLP,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
        <w:gridCol w:w="146"/>
        <w:gridCol w:w="7779"/>
        <w:gridCol w:w="146"/>
        <w:gridCol w:w="146"/>
        <w:gridCol w:w="146"/>
        <w:gridCol w:w="146"/>
        <w:gridCol w:w="146"/>
        <w:gridCol w:w="146"/>
        <w:gridCol w:w="146"/>
        <w:gridCol w:w="146"/>
        <w:gridCol w:w="146"/>
        <w:gridCol w:w="287"/>
      </w:tblGrid>
      <w:tr>
        <w:trPr/>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tan-ex97_1.htm">
              <w:r>
                <w:rPr>
                  <w:rStyle w:val="InternetLink"/>
                  <w:rFonts w:ascii="Times New Roman" w:hAnsi="Times New Roman"/>
                  <w:color w:val="0000FF"/>
                  <w:sz w:val="20"/>
                  <w:u w:val="single"/>
                </w:rPr>
                <w:t>ServiceTitan, Inc. Policy for Recovery of Erroneously Awarded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The certifications attached as Exhibit 32.1 and 32.2 that accompany this Annual Report on Form 10-K are deemed furnished and not “filed” with the Securities and Exchange Commission, and shall not be incorporated by reference into any filing of ServiceTitan, Inc. under the Securities Act of 1933, as amended, or the Securities Exchange Act of 1934, as amended, whether made before or after the date of this Annual Report on Form 10-K, irrespective of any general incorporation language contained in any such filing.</w:t>
      </w:r>
    </w:p>
    <w:p>
      <w:pPr>
        <w:pStyle w:val="TextBody"/>
        <w:bidi w:val="0"/>
        <w:spacing w:before="360" w:after="283"/>
        <w:jc w:val="left"/>
        <w:rPr>
          <w:rFonts w:ascii="Times New Roman" w:hAnsi="Times New Roman"/>
          <w:b/>
          <w:color w:val="000000"/>
          <w:sz w:val="20"/>
        </w:rPr>
      </w:pPr>
      <w:bookmarkStart w:id="34" w:name="item_16_form_10_k_summary"/>
      <w:bookmarkEnd w:id="34"/>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signatures"/>
      <w:bookmarkEnd w:id="35"/>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both"/>
        <w:rPr/>
      </w:pPr>
      <w:r>
        <w:rPr/>
        <w:t> </w:t>
      </w:r>
    </w:p>
    <w:tbl>
      <w:tblPr>
        <w:tblW w:w="7274" w:type="dxa"/>
        <w:jc w:val="left"/>
        <w:tblInd w:w="0" w:type="dxa"/>
        <w:tblLayout w:type="fixed"/>
        <w:tblCellMar>
          <w:top w:w="28" w:type="dxa"/>
          <w:left w:w="28" w:type="dxa"/>
          <w:bottom w:w="28" w:type="dxa"/>
          <w:right w:w="28" w:type="dxa"/>
        </w:tblCellMar>
      </w:tblPr>
      <w:tblGrid>
        <w:gridCol w:w="1891"/>
        <w:gridCol w:w="146"/>
        <w:gridCol w:w="406"/>
        <w:gridCol w:w="483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ServiceTitan,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(Duly Authorized Officer and Principal Financial Officer)</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120" w:after="283"/>
        <w:jc w:val="both"/>
        <w:rPr/>
      </w:pPr>
      <w:r>
        <w:rPr/>
        <w:t> </w:t>
      </w:r>
    </w:p>
    <w:tbl>
      <w:tblPr>
        <w:tblW w:w="6760" w:type="dxa"/>
        <w:jc w:val="left"/>
        <w:tblInd w:w="0" w:type="dxa"/>
        <w:tblLayout w:type="fixed"/>
        <w:tblCellMar>
          <w:top w:w="28" w:type="dxa"/>
          <w:left w:w="28" w:type="dxa"/>
          <w:bottom w:w="28" w:type="dxa"/>
          <w:right w:w="28" w:type="dxa"/>
        </w:tblCellMar>
      </w:tblPr>
      <w:tblGrid>
        <w:gridCol w:w="1891"/>
        <w:gridCol w:w="146"/>
        <w:gridCol w:w="3076"/>
        <w:gridCol w:w="146"/>
        <w:gridCol w:w="150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Ara Mahdessian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Dave Sherry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Michele O‘Connor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Michele O’Connor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Officer</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Vahe Kuzoyan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Vahe Kuzoyan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President and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Nina Achadjian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Nina Achadjian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Brown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Brown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Tim Cabral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 Cabral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Byron Deeter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Byron Deeter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Ilya Golubovich</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Ilya Golubovich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Griffith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Griffith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Hsu</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25, 2026</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Hsu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right"/>
        <w:rPr/>
      </w:pPr>
      <w:bookmarkStart w:id="36" w:name="ttan-ex4_1.htm"/>
      <w:bookmarkStart w:id="37" w:name="ksttanex4_1"/>
      <w:bookmarkEnd w:id="36"/>
      <w:bookmarkEnd w:id="37"/>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4.1</w:t>
      </w:r>
    </w:p>
    <w:p>
      <w:pPr>
        <w:pStyle w:val="TextBody"/>
        <w:bidi w:val="0"/>
        <w:jc w:val="left"/>
        <w:rPr/>
      </w:pPr>
      <w:bookmarkStart w:id="38" w:name="toc577298_15"/>
      <w:bookmarkEnd w:id="38"/>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DESCRIPTION OF THE REGISTRANT’S SECURITIES</w:t>
      </w:r>
    </w:p>
    <w:p>
      <w:pPr>
        <w:pStyle w:val="TextBody"/>
        <w:bidi w:val="0"/>
        <w:jc w:val="center"/>
        <w:rPr>
          <w:rFonts w:ascii="Times New Roman" w:hAnsi="Times New Roman"/>
          <w:b/>
          <w:color w:val="000000"/>
          <w:sz w:val="24"/>
        </w:rPr>
      </w:pPr>
      <w:r>
        <w:rPr>
          <w:rFonts w:ascii="Times New Roman" w:hAnsi="Times New Roman"/>
          <w:b/>
          <w:color w:val="000000"/>
          <w:sz w:val="24"/>
        </w:rPr>
        <w:t>REGISTERED PURSUANT TO SECTION 12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ServiceTitan, Inc. (“we,” “our” or “us”) has one class of securities registered under Section 12 of the Securities Exchange Act of 1934, as amended (the “Exchange Act”); our Class A common stock, $0.001 par value per share. The following summary describes our capital stock and the material provisions of our amended and restated certificate of incorporation, our amended and restated bylaws, the amended and restated investors’ rights agreement to which we and certain of our stockholders are parties (the “IRA”) and the General Corporation Law of the State of Delaware (the “Delaware General Corporation Law”). Because the following is only a summary, it does not contain all of the information that may be important to you. For a complete description, you should refer to our amended and restated certificate of incorporation, our amended and restated bylaws, and the IRA, copies of which have been publicly filed with the U.S. Securities and Exchange Commission (the “SEC”), and the applicable provisions of the Delaware General Corporation Law.</w:t>
      </w:r>
    </w:p>
    <w:p>
      <w:pPr>
        <w:pStyle w:val="TextBody"/>
        <w:bidi w:val="0"/>
        <w:spacing w:before="240" w:after="283"/>
        <w:jc w:val="both"/>
        <w:rPr>
          <w:rFonts w:ascii="Times New Roman" w:hAnsi="Times New Roman"/>
          <w:sz w:val="20"/>
        </w:rPr>
      </w:pPr>
      <w:r>
        <w:rPr>
          <w:rFonts w:ascii="Times New Roman" w:hAnsi="Times New Roman"/>
          <w:b/>
          <w:color w:val="000000"/>
          <w:sz w:val="22"/>
        </w:rPr>
        <w:t>General</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Our authorized capital stock consists of 1,300,000,000 shares of capital stock, $0.001 par value per share, of which:</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1,000,000,000 shares are designated as Class A common stock;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100,000,000 shares are designated as Class B common stock;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100,000,000 shares are designated as Class C common stock;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100,000,000 shares are designated as preferred stock.</w:t>
      </w:r>
    </w:p>
    <w:p>
      <w:pPr>
        <w:pStyle w:val="TextBody"/>
        <w:bidi w:val="0"/>
        <w:spacing w:before="240" w:after="283"/>
        <w:jc w:val="both"/>
        <w:rPr>
          <w:rFonts w:ascii="Times New Roman" w:hAnsi="Times New Roman"/>
          <w:sz w:val="20"/>
        </w:rPr>
      </w:pPr>
      <w:r>
        <w:rPr>
          <w:rFonts w:ascii="Times New Roman" w:hAnsi="Times New Roman"/>
          <w:color w:val="000000"/>
          <w:sz w:val="22"/>
        </w:rPr>
        <w:t>Pursuant to our amended and restated certificate of incorporation, our board of directors is authorized, without stockholder approval except as required by the listing standards of The Nasdaq Stock Market LLC (“Nasdaq”), to issue additional shares of our Class A common stock and Class C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We have three classes of authorized common stock: Class A common stock, Class B common stock and Class C common stock. The rights of the holders of Class A common stock, Class B common stock and Class C common stock are identical, except with respect to voting and conversion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Dividend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2"/>
        </w:rPr>
        <w:t>Voting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Holders of our Class A common stock are entitled to one vote for each share held on all matters submitted to a vote of stockholders, holders of our Class B common stock are entitled to 10 votes for each share held on all matters submitted to a vote of stockholders and holders of our Class C common stock are entitled to no votes for each share held on all matters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at least a majority of the outstanding shares of our Class B common stock voting as a separate class is required to increase the number of authorized shares of our Class B common stock. In addition, Delaware law could require holders of our Class A common stock, our Class B common stock or our Class C common stock to vote separately as a single class in the following circumstances:</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we were to seek to amend our amended and restated certificate of incorporation to increase or decrease the par value of a class of stock, then that class would be required to vote separately to approve the proposed amendment;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pStyle w:val="TextBody"/>
        <w:bidi w:val="0"/>
        <w:spacing w:before="240" w:after="283"/>
        <w:jc w:val="both"/>
        <w:rPr>
          <w:rFonts w:ascii="Times New Roman" w:hAnsi="Times New Roman"/>
          <w:sz w:val="20"/>
        </w:rPr>
      </w:pPr>
      <w:r>
        <w:rPr>
          <w:rFonts w:ascii="Times New Roman" w:hAnsi="Times New Roman"/>
          <w:color w:val="000000"/>
          <w:sz w:val="22"/>
        </w:rPr>
        <w:t>Until the Final Conversion Date (as defined below), approval of at least a majority of the outstanding shares of our Class B common stock voting as a separate class shall be required to amend, alter, change, adopt or repeal any provision of our amended and restated certificate of incorporation relating to the voting, conversion or other rights, powers, preferences, privileges or restrictions of our Class B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provides for a classified board of directors consisting of three classes, each serving staggered three-year terms. Only the directors in one class are subject to election by a plurality of the votes cast at each annual meeting of stockholders, with the directors in the other classes continuing for the remainder of their respective three-year terms. Stockholders do not have the ability to cumulate votes for the election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No Preemptive or Similar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common stock is not entitled to preemptive rights and is not subject to redemption or sinking fund provisions. The rights, preferences and privileges of the holders of our common stock are subject to, and may be adversely affected by, the rights of the holders of shares of any series of our preferred stock that we may designate in the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Right to Receive Liquidation Distributions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If we become subject to a liquidation, dissolution or winding-up, the assets legally available for distribution to our stockholders will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Conversion of Class B Common Stock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Each share of Class B common stock is convertible at any time at the option of the holder into one share of Class A common stock. Prior to the Final Conversion Date (as defined below), shares of Class B common stock will automatically convert into an equivalent number of shares of Class A common stock upon sale or transfer, except for certain transfers described in our amended and restated certificate of incorporation, including estate planning or other transfers among Ara Mahdessian and Vahe Kuzoyan (the “Co-Founders”) and their permitted entities and permitted transferees.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share of Class B common stock will convert automatically into one share of Class A common stock upon the earlier of (i) December 13, 2039 and (ii) the date fixed by our board of directors that is no less than 61 days and no more than 180 days following the first date on which the number of shares of our Class B common stock (including securities convertible or exercisable into Class B common stock) held by the Co-Founders and the permitted entities they control is less than 20% of the shares of Class B common stock (including securities convertible or exercisable into Class B common stock) held by the Co-Founders and the permitted entities they control on December 13, 2024 (the date on which such final conversion of all outstanding shares of Class B common stock pursuant to the terms of our amended and restated certificate of incorporation occurs, the “Final Conversion Date”). Prior to the Final Conversion Date, each share of Class B common stock held of record by each Co-Founder and such Co-Founder’s permitted entities and permitted transferees will convert automatically into one share of Class A common stock upon (i) the date fixed by our board of directors, including a majority of the disinterested directors, that is no less than 61 days and no more than 180 days following the date on which such Co-Founder is terminated for cause (as defined in our amended and restated certificate of incorporation), (ii) the date on which such Co-Founder is no longer voluntarily providing services to us as an employee or a member of our board of directors and (iii) the date that is nine months after the death of such Co-Founder.</w:t>
      </w:r>
    </w:p>
    <w:p>
      <w:pPr>
        <w:pStyle w:val="TextBody"/>
        <w:bidi w:val="0"/>
        <w:spacing w:before="240" w:after="283"/>
        <w:jc w:val="both"/>
        <w:rPr>
          <w:rFonts w:ascii="Times New Roman" w:hAnsi="Times New Roman"/>
          <w:sz w:val="20"/>
        </w:rPr>
      </w:pPr>
      <w:r>
        <w:rPr>
          <w:rFonts w:ascii="Times New Roman" w:hAnsi="Times New Roman"/>
          <w:b/>
          <w:i/>
          <w:color w:val="000000"/>
          <w:sz w:val="22"/>
        </w:rPr>
        <w:t>Class C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authorized but unissued shares of Class C common stock are available for issuance with the approval of our board of directors without stockholder approval, except as may be required by the Nasdaq listing rules. We may issue shares of Class C common stock for a variety of corporate purposes, including financings, acquisitions, investments and equity incentives to our employees, consultants and directors, and the Class C common stock provides us with the flexibility to do so without diluting the existing voting power of our outstanding Class A and Class B common stock. Because the Class C common stock carries no voting rights (except as otherwise required by law) and is not listed for trading on an exchange or registered for sale with the SEC, shares of Class C common stock may be less liquid and less attractive to any future recipients of these shares than shares of Class A common stock, although we may seek to list the Class C common stock for trading and register shares of Class C common stock for sale in the future. In addition, because our Class C common stock carries no voting rights (except as otherwise required by law), if we issue shares of Class C common stock in the future, the Co-Founders, as holders of our Class B common stock, may be able to hold significant voting control and determine the outcome of most matters submitted to a vote of our stockholders for a longer period of time than would be the case if we issued Class A common stock rather than Class C common stock in such transactions. In addition, if we issue shares of Class C common stock, such issuances would have a dilutive effect on the economic interests of our Class A and Class B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Fully Paid and Non-Assessable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All of our outstanding shares of Class A and Class B common stock are fully paid and nonassessable.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Preferred Stock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pStyle w:val="TextBody"/>
        <w:bidi w:val="0"/>
        <w:spacing w:before="240" w:after="283"/>
        <w:jc w:val="both"/>
        <w:rPr>
          <w:rFonts w:ascii="Times New Roman" w:hAnsi="Times New Roman"/>
          <w:sz w:val="20"/>
        </w:rPr>
      </w:pPr>
      <w:r>
        <w:rPr>
          <w:rFonts w:ascii="Times New Roman" w:hAnsi="Times New Roman"/>
          <w:b/>
          <w:color w:val="000000"/>
          <w:sz w:val="22"/>
        </w:rPr>
        <w:t>Registration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Certain holders of our Class A common stock are entitled to rights with respect to the registration of their shares under the Securities Act of 1933, as amended (the “Securities Act”). These registration rights are contained in our IRA, which was entered into in connection with our redeemable convertible preferred stock financings. The registration rights set forth in our IRA expire (i) December 13, 2029, (ii) with respect to any particular stockholder, when such stockholder is able to sell all of its shares pursuant to Rule 144 or another similar exemption under the Securities Act during any 90-day period or (iii) upon the closing of a deemed liquidation event (as defined in our amended and restated certificate of incorporation in effect as of immediately prior to the completion of our initial public offering), pursuant to which such stockholders receive proceeds solely in the form of cash or marketable securities. We will pay the registration expenses (other than underwriting discounts, selling commissions, stock transfer taxes and certain attorneys’ fees) of the holders of the shares registered pursuant to the registrations described below. In an underwritten offering, the managing underwriter, if any, has the right, subject to specified conditions, to limit the number of shares such holders may include.</w:t>
      </w:r>
    </w:p>
    <w:p>
      <w:pPr>
        <w:pStyle w:val="TextBody"/>
        <w:bidi w:val="0"/>
        <w:spacing w:before="240" w:after="283"/>
        <w:jc w:val="both"/>
        <w:rPr>
          <w:rFonts w:ascii="Times New Roman" w:hAnsi="Times New Roman"/>
          <w:sz w:val="20"/>
        </w:rPr>
      </w:pPr>
      <w:r>
        <w:rPr>
          <w:rFonts w:ascii="Times New Roman" w:hAnsi="Times New Roman"/>
          <w:b/>
          <w:i/>
          <w:color w:val="000000"/>
          <w:sz w:val="22"/>
        </w:rPr>
        <w:t>Demand Registration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Certain holders of our Class A common stock (including shares of our Class A common stock issuable upon the exercise or settlement, as applicable, of outstanding equity awards) are entitled to certain demand registration rights. At any time beginning on June 9, 2025, the holders of at least a majority of these shares then outstanding can request that we register the offer and sale of their shares. Such request for registration must cover securities, the anticipated aggregate public offering price of which, before payment of underwriting discounts, selling commissions and stock transfer taxes, is at least $50,000,000. We are obligated to effect only two such registrations. If we determine that it would be materially detrimental to us and our stockholders to effect such a demand registration, we have the right to defer such registration for a period of up to 90 days, not more than once in any 12-month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Piggyback Registration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If we propose to register the offer and sale of our Class A common stock under the Securities Act, in connection with the public offering of such Class A common stock certain holders of our Class A common stock (including shares of our Class A common stock issuable upon conversion of our Class B common stock and/or the exercise or settlement, as applicable, of outstanding equity awards)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Class A common stock being registered is Class A common stock issuable upon conversion of debt securities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S-3 Registration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Certain holders of our Class A common stock (including shares of our Class A common stock issuable upon conversion of our Class B common stock and/or the exercise or settlement, as applicable, of outstanding equity awards) are entitled to certain Form S-3 registration rights. The holders of at least 10% of these shares then outstanding may make a written request that we register the offer and sale of their shares on a registration statement on Form S-3 if we are eligible to file a registration statement on Form S-3. Such request for registration must cover securities, the anticipated aggregate public offering price of which, before payment of underwriting discounts, selling commissions and stock transfer taxes, is at least $10,000,000. These stockholders may make an unlimited number of requests for registration on Form S-3; however, we will not be required to effect a registration on Form S-3 if we have effected two such registrations within the 12-month period preceding the date of the request. If we determine that it would be materially detrimental to us and our stockholders to effect such a demand registration, we have the right to defer such registration for a period of up to 90 days, not more than once in any 12-month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Anti-Takeover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Certain provisions of the Delaware General Corporation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240" w:after="283"/>
        <w:jc w:val="both"/>
        <w:rPr>
          <w:rFonts w:ascii="Times New Roman" w:hAnsi="Times New Roman"/>
          <w:sz w:val="20"/>
        </w:rPr>
      </w:pPr>
      <w:r>
        <w:rPr>
          <w:rFonts w:ascii="Times New Roman" w:hAnsi="Times New Roman"/>
          <w:b/>
          <w:i/>
          <w:color w:val="000000"/>
          <w:sz w:val="22"/>
        </w:rPr>
        <w:t>Delaware Law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prior to the date of the transaction, the board of directors of the corporation approved either the business combination or the transaction which resulted in the stockholder becoming an interested stockholder;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of the corporation and (2) shares owned by employee stock plans in which employee participants do not have the right to determine confidentially whether shares held subject to the plan will be tendered in a tender or exchange offer; or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pStyle w:val="TextBody"/>
        <w:bidi w:val="0"/>
        <w:spacing w:before="240" w:after="283"/>
        <w:jc w:val="both"/>
        <w:rPr>
          <w:rFonts w:ascii="Times New Roman" w:hAnsi="Times New Roman"/>
          <w:sz w:val="20"/>
        </w:rPr>
      </w:pPr>
      <w:r>
        <w:rPr>
          <w:rFonts w:ascii="Times New Roman" w:hAnsi="Times New Roman"/>
          <w:color w:val="000000"/>
          <w:sz w:val="22"/>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Delaware General Corporation Law may also discourage attempts that might result in a premium over the market price for the shares of common stock held by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2"/>
        </w:rPr>
        <w:t>Amended and Restated Certificate of Incorporation and Amended and Restated Bylaw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and our amended and restated bylaws include a number of provisions that could deter hostile takeovers or delay or prevent changes in control of our board of directors or management team, including the following: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Multi-Class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As described above in the subsection titled “Common Stock—Voting Rights,” our amended and restated certificate of incorporation provides for a multi-class common stock structure. As a result, our Co-Founders are able to significantly influence or control any action requiring the approval of our stockholders, including the election of our board of directors, the adoption of amendments to our amended and restated certificate of incorporation and bylaws and the approval of any merger, consolidation, sale of all or substantially all of our assets or other major corporate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Separate Class B Vote for Certain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Until the Final Conversion Date, our Class B common stock has the right to vote as a separate class on amendments to our amended and restated certificate of incorporation that affect the rights of our Class B common stock. See the subsection above titled “Common Stock—Voting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Board of Directors Vacancies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Directors Removed Only for Cause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provides that stockholders may remove directors only for cause.</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Classified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our voting shares are able to elect all of our directors.</w:t>
      </w:r>
    </w:p>
    <w:p>
      <w:pPr>
        <w:pStyle w:val="TextBody"/>
        <w:bidi w:val="0"/>
        <w:spacing w:before="240" w:after="283"/>
        <w:jc w:val="both"/>
        <w:rPr>
          <w:rFonts w:ascii="Times New Roman" w:hAnsi="Times New Roman"/>
          <w:sz w:val="20"/>
        </w:rPr>
      </w:pPr>
      <w:r>
        <w:rPr>
          <w:rFonts w:ascii="Times New Roman" w:hAnsi="Times New Roman"/>
          <w:i/>
          <w:color w:val="000000"/>
          <w:sz w:val="22"/>
        </w:rPr>
        <w:t>Supermajority Requirements for Amendments of Our Amended and Restated Certificate of Incorporation and Amended and Restated Bylaws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further provides that the affirmative vote of holders of at least two-thirds of the voting power of all of the then-outstanding shares of voting stock is required to amend certain provisions of our amended and restated certificate of incorporation, including provisions relating to the size of the board, removal of directors, special meetings, actions by written consent and designation of our preferred stock. The affirmative vote of holders of at least two-thirds of the voting power of all of the then-outstanding shares of voting stock is required to amend or repeal our amended and restated bylaws, although our amended and restated bylaws may be amended by a simple majority vote of our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Stockholder Action; Special Meeting of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and amended and restated bylaws provide that special meetings of our stockholders may be called only by a majority of our board of directors, the chairperson of our board of directors, our chief executive officer or our president. Our amended and restated certificate of incorporation provides that our stockholders may not take action by written consent, but may only take action at annual or special meetings of our stockholders. As a result, holders of our capital stock will not be able to amend our amended and restated bylaws or remove directors without holding a meeting of our stockholders called in accordance with our amended and restated bylaws. These provisions might delay the ability of our stockholders to force consideration of a proposal or for stockholders to take any action, including the removal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Advance Notice Requirements for Stockholder Proposals and Director Nominations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No Cumulative Voting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Issuance of Undesignated Preferred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board of directors is authorized, without further action by our stockholders unless required by law or by any stock exchange, to direct us to issue up to 100,000,000 shares of undesignated preferred stock with rights and preferences, including voting rights, designated from time to time by our board of directors. The existence of authorized but unissued shares of preferred stock enable our board of directors to render more difficult or to discourage an attempt to obtain control of us by means of a merger, tender offer, proxy contest or other means.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2"/>
        </w:rPr>
        <w:t>Exclusive Forum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amended and restated certificate of incorporation provides that the Court of Chancery of the State of Delaware will be the sole and exclusive forum for the following types of actions or proceedings under Delaware statutory or common law: (i) any derivative action, suit or proceeding brought on behalf of us; (ii) any action, suit or proceeding asserting a claim of breach of fiduciary duty owed by any director, officer, or stockholder of our company to us or our stockholders; (iii) any action, suit or proceeding asserting a claim arising pursuant to any provision of the Delaware General Corporation Law or our amended and restated certificate of incorporation and bylaws; or (iv) any action, suit or proceeding asserting a claim governed by the internal affairs doctrine. This provision does not apply to suits brought to enforce a duty or liability created by the Exchange Act, or any other claim for which the federal courts have exclusive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Furthermore,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our shares of capital stock shall be deemed to have notice of and consented to the foregoing forum selection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exclusive forum provision does not relieve us of our duties to comply with the federal securities laws and the rules and regulations thereunder, and our stockholders will not be deemed to have waived our compliance with these laws, rules and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either of the choice of forum provisions contained in our amended and restated certificate of incorporation or amended and restated bylaws to be inapplicable or unenforceable in an action, we may incur additional costs associated with resolving such action in other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choice of forum provisions may limit a stockholder’s ability to bring a claim in a judicial forum that it finds favorable for disputes with the company or our directors, officers or other employees, which may discourage such lawsuits against the company and our directors, officers and other employees and result in increased costs for investors to bring a claim.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Transfer Agent and Registrar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The transfer agent and registrar for our Class A common stock and Class B common stock is Computershare Trust Company, N.A. The transfer agent and registrar’s address is 250 Royall Street, Canton, Massachusetts 02021.</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2"/>
        </w:rPr>
        <w:t>Listing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Our Class A common stock is listed on the Nasdaq Global Select Market under the symbol “TTAN.”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9" w:name="ttan-ex10_2.htm"/>
      <w:bookmarkStart w:id="40" w:name="ksttanex10_2"/>
      <w:bookmarkEnd w:id="39"/>
      <w:bookmarkEnd w:id="40"/>
      <w:r>
        <w:rP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10.2</w:t>
      </w:r>
    </w:p>
    <w:p>
      <w:pPr>
        <w:pStyle w:val="TextBody"/>
        <w:bidi w:val="0"/>
        <w:spacing w:before="0" w:after="240"/>
        <w:jc w:val="center"/>
        <w:rPr>
          <w:rFonts w:ascii="Times New Roman" w:hAnsi="Times New Roman"/>
          <w:sz w:val="20"/>
        </w:rPr>
      </w:pPr>
      <w:r>
        <w:rPr>
          <w:rFonts w:ascii="Times New Roman" w:hAnsi="Times New Roman"/>
          <w:b/>
          <w:color w:val="000000"/>
          <w:sz w:val="22"/>
        </w:rPr>
        <w:t>SERVICETITAN, INC.</w:t>
      </w:r>
      <w:r>
        <w:rPr>
          <w:rFonts w:ascii="Times New Roman" w:hAnsi="Times New Roman"/>
          <w:b/>
          <w:smallCaps/>
          <w:color w:val="000000"/>
          <w:sz w:val="22"/>
        </w:rPr>
        <w:br/>
        <w:t>2024 INCENTIVE AWARD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Purpose </w:t>
      </w:r>
    </w:p>
    <w:p>
      <w:pPr>
        <w:pStyle w:val="TextBody"/>
        <w:bidi w:val="0"/>
        <w:spacing w:before="0" w:after="240"/>
        <w:jc w:val="both"/>
        <w:rPr>
          <w:rFonts w:ascii="Times New Roman" w:hAnsi="Times New Roman"/>
          <w:sz w:val="20"/>
        </w:rPr>
      </w:pPr>
      <w:r>
        <w:rPr>
          <w:rFonts w:ascii="Times New Roman" w:hAnsi="Times New Roman"/>
          <w:color w:val="000000"/>
          <w:sz w:val="22"/>
        </w:rPr>
        <w:t>The Plan’s purpose is to enhance the Company’s ability to attract, retain and motivate persons who make (or are expected to make) important contributions to the Company by providing these individuals with equity ownership opportunities.</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240"/>
        <w:jc w:val="center"/>
        <w:rPr/>
      </w:pPr>
      <w:r>
        <w:rPr>
          <w:rFonts w:ascii="Times New Roman" w:hAnsi="Times New Roman"/>
          <w:b/>
          <w:caps/>
          <w:color w:val="000000"/>
          <w:sz w:val="22"/>
        </w:rPr>
        <w:br/>
        <w:t>Definitions</w:t>
      </w:r>
      <w:r>
        <w:rPr>
          <w:caps/>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the Plan, the following words and phrases have the meanings specified below, unless the context clearly indicates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color w:val="000000"/>
        </w:rPr>
        <w:t>“</w:t>
      </w:r>
      <w:r>
        <w:rPr>
          <w:rFonts w:ascii="Times New Roman" w:hAnsi="Times New Roman"/>
          <w:b/>
          <w:i/>
          <w:color w:val="000000"/>
          <w:sz w:val="22"/>
        </w:rPr>
        <w:t>Administrator</w:t>
      </w:r>
      <w:r>
        <w:rPr>
          <w:color w:val="000000"/>
        </w:rPr>
        <w:t xml:space="preserve">” </w:t>
      </w:r>
      <w:r>
        <w:rPr>
          <w:rFonts w:ascii="Times New Roman" w:hAnsi="Times New Roman"/>
          <w:color w:val="000000"/>
          <w:sz w:val="22"/>
        </w:rPr>
        <w:t>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color w:val="000000"/>
        </w:rPr>
        <w:t>“</w:t>
      </w:r>
      <w:r>
        <w:rPr>
          <w:rFonts w:ascii="Times New Roman" w:hAnsi="Times New Roman"/>
          <w:b/>
          <w:i/>
          <w:color w:val="000000"/>
          <w:sz w:val="22"/>
        </w:rPr>
        <w:t>Automatic Exercise Date</w:t>
      </w:r>
      <w:r>
        <w:rPr>
          <w:color w:val="000000"/>
        </w:rPr>
        <w:t xml:space="preserve">” </w:t>
      </w:r>
      <w:r>
        <w:rPr>
          <w:rFonts w:ascii="Times New Roman" w:hAnsi="Times New Roman"/>
          <w:color w:val="000000"/>
          <w:sz w:val="22"/>
        </w:rPr>
        <w:t>means, with respect to an Option or a Stock Appreciation Right, the last business day of the applicable Option term or Stock Appreciation Right term that was initially established by the Administrator for such Option or Stock Appreciation Right (e.g., the last business day prior to the tenth anniversary of the date of grant of such Option or Stock Appreciation Right if the Option or Stock Appreciation Right initially had a ten-year Option term or Stock Appreciation Right term,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an Option award, Stock Appreciation Right award, Restricted Stock award, Restricted Stock Unit award, Performance Bonus Award, Performance Stock Unit award, Dividend Equivalents award or Other Stock or Cash Based Award granted to a Participant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an agreement evidencing an Award, which may be written or electronic, that contains such terms and conditions as the Administrator determines, consistent with and subject to the terms and conditions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Subsidiary; (ii) any acquisition by an employee benefit plan maintained by the Company or any Subsidiary, (iii) any acquisition which complies with Sections 2.7(c)(i), 2.7(c)(ii) and 2.7(c)(iii); or (iv)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Incumbent Directors cease for any reason to constitute a majority of the Board;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color w:val="000000"/>
        </w:rPr>
        <w:t>”</w:t>
      </w:r>
      <w:r>
        <w:rPr>
          <w:rFonts w:ascii="Times New Roman" w:hAnsi="Times New Roman"/>
          <w:color w:val="000000"/>
          <w:sz w:val="22"/>
        </w:rPr>
        <w:t>)) directly or indirectly, at least a majority of the combined voting power of the Successor Entity’s outstanding voting securities immediately after the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2"/>
        </w:rPr>
        <w:t>after which no person or group beneficially owns voting securities representing 50% or more of the combined voting power of the Successor Entity; provided</w:t>
      </w:r>
      <w:r>
        <w:rPr>
          <w:rFonts w:ascii="Times New Roman" w:hAnsi="Times New Roman"/>
          <w:i/>
          <w:color w:val="000000"/>
          <w:sz w:val="22"/>
        </w:rPr>
        <w:t xml:space="preserve">, </w:t>
      </w:r>
      <w:r>
        <w:rPr>
          <w:rFonts w:ascii="Times New Roman" w:hAnsi="Times New Roman"/>
          <w:color w:val="000000"/>
          <w:sz w:val="22"/>
        </w:rPr>
        <w:t xml:space="preserve">however, that no person or group shall be treated for purposes of this Section 2.7(c)(ii) as beneficially owning 50% or more of the combined voting power of the Successor Entity solely as a result of the voting power held in the Company prior to the consummation of the transaction;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completion of a liquidation or dissolution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2.7 with respect to such Award (or portion thereof) shall only constitute a Change in Control for purposes of the payment timing of such Award if such transaction also constitutes a “change in control event,” as defined in Treasury Regulation Section 1.409A-3(i)(5).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color w:val="000000"/>
        </w:rPr>
        <w:t>“</w:t>
      </w:r>
      <w:r>
        <w:rPr>
          <w:rFonts w:ascii="Times New Roman" w:hAnsi="Times New Roman"/>
          <w:b/>
          <w:i/>
          <w:color w:val="000000"/>
          <w:sz w:val="22"/>
        </w:rPr>
        <w:t>Class A Common Stock</w:t>
      </w:r>
      <w:r>
        <w:rPr>
          <w:color w:val="000000"/>
        </w:rPr>
        <w:t xml:space="preserve">” </w:t>
      </w:r>
      <w:r>
        <w:rPr>
          <w:rFonts w:ascii="Times New Roman" w:hAnsi="Times New Roman"/>
          <w:color w:val="000000"/>
          <w:sz w:val="22"/>
        </w:rPr>
        <w:t>means the Class A common stock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color w:val="000000"/>
        </w:rPr>
        <w:t>“</w:t>
      </w:r>
      <w:r>
        <w:rPr>
          <w:rFonts w:ascii="Times New Roman" w:hAnsi="Times New Roman"/>
          <w:b/>
          <w:i/>
          <w:color w:val="000000"/>
          <w:sz w:val="22"/>
        </w:rPr>
        <w:t>Class B Common Stock</w:t>
      </w:r>
      <w:r>
        <w:rPr>
          <w:color w:val="000000"/>
        </w:rPr>
        <w:t xml:space="preserve">” </w:t>
      </w:r>
      <w:r>
        <w:rPr>
          <w:rFonts w:ascii="Times New Roman" w:hAnsi="Times New Roman"/>
          <w:color w:val="000000"/>
          <w:sz w:val="22"/>
        </w:rPr>
        <w:t>means the Class B common stock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240"/>
        <w:jc w:val="both"/>
        <w:rPr/>
      </w:pPr>
      <w:r>
        <w:rPr>
          <w:color w:val="000000"/>
        </w:rPr>
        <w:t>“</w:t>
      </w:r>
      <w:r>
        <w:rPr>
          <w:rFonts w:ascii="Times New Roman" w:hAnsi="Times New Roman"/>
          <w:b/>
          <w:i/>
          <w:color w:val="000000"/>
          <w:sz w:val="22"/>
        </w:rPr>
        <w:t>Class C Common Stock</w:t>
      </w:r>
      <w:r>
        <w:rPr>
          <w:color w:val="000000"/>
        </w:rPr>
        <w:t xml:space="preserve">” </w:t>
      </w:r>
      <w:r>
        <w:rPr>
          <w:rFonts w:ascii="Times New Roman" w:hAnsi="Times New Roman"/>
          <w:color w:val="000000"/>
          <w:sz w:val="22"/>
        </w:rPr>
        <w:t>means the Class C common stock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U.S. Internal Revenue Code of 1986, as amended, and all regulations, guidance, compliance programs and other interpretative authority issued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 xml:space="preserve">means one or more committees or subcommittees of the Board, which may include one or more Directors or executive officers of the Company,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 xml:space="preserve">means the common stock of the Company, par value $0.001 per share, which may be designated as Class A Common Stock, Class B Common Stock or Class C Common Stock.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ServiceTitan, Inc., a Delaware corporation, or any successor.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240"/>
        <w:jc w:val="both"/>
        <w:rPr/>
      </w:pPr>
      <w:r>
        <w:rPr>
          <w:color w:val="000000"/>
        </w:rPr>
        <w:t>“</w:t>
      </w:r>
      <w:r>
        <w:rPr>
          <w:rFonts w:ascii="Times New Roman" w:hAnsi="Times New Roman"/>
          <w:b/>
          <w:i/>
          <w:color w:val="000000"/>
          <w:sz w:val="22"/>
        </w:rPr>
        <w:t>Consultant</w:t>
      </w:r>
      <w:r>
        <w:rPr>
          <w:color w:val="000000"/>
        </w:rPr>
        <w:t xml:space="preserve">” </w:t>
      </w:r>
      <w:r>
        <w:rPr>
          <w:rFonts w:ascii="Times New Roman" w:hAnsi="Times New Roman"/>
          <w:color w:val="000000"/>
          <w:sz w:val="22"/>
        </w:rPr>
        <w:t>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who qualifies as a consultant or advisor under Instruction A.1.(a)(1) of Form S-8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240"/>
        <w:jc w:val="both"/>
        <w:rPr/>
      </w:pPr>
      <w:r>
        <w:rPr>
          <w:color w:val="000000"/>
        </w:rPr>
        <w:t>“</w:t>
      </w:r>
      <w:r>
        <w:rPr>
          <w:rFonts w:ascii="Times New Roman" w:hAnsi="Times New Roman"/>
          <w:b/>
          <w:i/>
          <w:color w:val="000000"/>
          <w:sz w:val="22"/>
        </w:rPr>
        <w:t>Designated Beneficiary</w:t>
      </w:r>
      <w:r>
        <w:rPr>
          <w:color w:val="000000"/>
        </w:rPr>
        <w:t xml:space="preserve">” </w:t>
      </w:r>
      <w:r>
        <w:rPr>
          <w:rFonts w:ascii="Times New Roman" w:hAnsi="Times New Roman"/>
          <w:color w:val="000000"/>
          <w:sz w:val="22"/>
        </w:rPr>
        <w:t>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240"/>
        <w:jc w:val="both"/>
        <w:rPr/>
      </w:pPr>
      <w:r>
        <w:rPr>
          <w:color w:val="000000"/>
        </w:rPr>
        <w:t>“</w:t>
      </w:r>
      <w:r>
        <w:rPr>
          <w:rFonts w:ascii="Times New Roman" w:hAnsi="Times New Roman"/>
          <w:b/>
          <w:i/>
          <w:color w:val="000000"/>
          <w:sz w:val="22"/>
        </w:rPr>
        <w:t>Director</w:t>
      </w:r>
      <w:r>
        <w:rPr>
          <w:color w:val="000000"/>
        </w:rPr>
        <w:t xml:space="preserve">” </w:t>
      </w:r>
      <w:r>
        <w:rPr>
          <w:rFonts w:ascii="Times New Roman" w:hAnsi="Times New Roman"/>
          <w:color w:val="000000"/>
          <w:sz w:val="22"/>
        </w:rPr>
        <w:t>means a Board member.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240"/>
        <w:jc w:val="both"/>
        <w:rPr/>
      </w:pPr>
      <w:r>
        <w:rPr>
          <w:color w:val="000000"/>
        </w:rPr>
        <w:t>“</w:t>
      </w:r>
      <w:r>
        <w:rPr>
          <w:rFonts w:ascii="Times New Roman" w:hAnsi="Times New Roman"/>
          <w:b/>
          <w:i/>
          <w:color w:val="000000"/>
          <w:sz w:val="22"/>
        </w:rPr>
        <w:t>Disability</w:t>
      </w:r>
      <w:r>
        <w:rPr>
          <w:color w:val="000000"/>
        </w:rPr>
        <w:t xml:space="preserve">” </w:t>
      </w:r>
      <w:r>
        <w:rPr>
          <w:rFonts w:ascii="Times New Roman" w:hAnsi="Times New Roman"/>
          <w:color w:val="000000"/>
          <w:sz w:val="22"/>
        </w:rPr>
        <w:t>means a permanent and total disability under Section 22(e)(3)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240"/>
        <w:jc w:val="both"/>
        <w:rPr/>
      </w:pPr>
      <w:r>
        <w:rPr>
          <w:color w:val="000000"/>
        </w:rPr>
        <w:t>“</w:t>
      </w:r>
      <w:r>
        <w:rPr>
          <w:rFonts w:ascii="Times New Roman" w:hAnsi="Times New Roman"/>
          <w:b/>
          <w:i/>
          <w:color w:val="000000"/>
          <w:sz w:val="22"/>
        </w:rPr>
        <w:t>Dividend Equivalents</w:t>
      </w:r>
      <w:r>
        <w:rPr>
          <w:color w:val="000000"/>
        </w:rPr>
        <w:t xml:space="preserve">” </w:t>
      </w:r>
      <w:r>
        <w:rPr>
          <w:rFonts w:ascii="Times New Roman" w:hAnsi="Times New Roman"/>
          <w:color w:val="000000"/>
          <w:sz w:val="22"/>
        </w:rPr>
        <w:t>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240"/>
        <w:jc w:val="both"/>
        <w:rPr/>
      </w:pPr>
      <w:r>
        <w:rPr>
          <w:color w:val="000000"/>
        </w:rPr>
        <w:t>“</w:t>
      </w:r>
      <w:r>
        <w:rPr>
          <w:rFonts w:ascii="Times New Roman" w:hAnsi="Times New Roman"/>
          <w:b/>
          <w:i/>
          <w:color w:val="000000"/>
          <w:sz w:val="22"/>
        </w:rPr>
        <w:t>DRO</w:t>
      </w:r>
      <w:r>
        <w:rPr>
          <w:color w:val="000000"/>
        </w:rPr>
        <w:t xml:space="preserve">” </w:t>
      </w:r>
      <w:r>
        <w:rPr>
          <w:rFonts w:ascii="Times New Roman" w:hAnsi="Times New Roman"/>
          <w:color w:val="000000"/>
          <w:sz w:val="22"/>
        </w:rPr>
        <w:t>means a “domestic relations order” as defined by the Code or Title I of the Employee Retirement Income Security Act of 1974, as amended, or the rules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240"/>
        <w:jc w:val="both"/>
        <w:rPr/>
      </w:pPr>
      <w:r>
        <w:rPr>
          <w:color w:val="000000"/>
        </w:rPr>
        <w:t>“</w:t>
      </w:r>
      <w:r>
        <w:rPr>
          <w:rFonts w:ascii="Times New Roman" w:hAnsi="Times New Roman"/>
          <w:b/>
          <w:i/>
          <w:color w:val="000000"/>
          <w:sz w:val="22"/>
        </w:rPr>
        <w:t>Effective Date</w:t>
      </w:r>
      <w:r>
        <w:rPr>
          <w:color w:val="000000"/>
        </w:rPr>
        <w:t xml:space="preserve">” </w:t>
      </w:r>
      <w:r>
        <w:rPr>
          <w:rFonts w:ascii="Times New Roman" w:hAnsi="Times New Roman"/>
          <w:color w:val="000000"/>
          <w:sz w:val="22"/>
        </w:rPr>
        <w:t>has the meaning set forth in Section 11.3.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24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any employee of the Company or any of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240"/>
        <w:jc w:val="both"/>
        <w:rPr/>
      </w:pPr>
      <w:r>
        <w:rPr>
          <w:color w:val="000000"/>
        </w:rPr>
        <w:t>“</w:t>
      </w:r>
      <w:r>
        <w:rPr>
          <w:rFonts w:ascii="Times New Roman" w:hAnsi="Times New Roman"/>
          <w:b/>
          <w:i/>
          <w:color w:val="000000"/>
          <w:sz w:val="22"/>
        </w:rPr>
        <w:t>Equity Restructuring</w:t>
      </w:r>
      <w:r>
        <w:rPr>
          <w:color w:val="000000"/>
        </w:rPr>
        <w:t xml:space="preserve">” </w:t>
      </w:r>
      <w:r>
        <w:rPr>
          <w:rFonts w:ascii="Times New Roman" w:hAnsi="Times New Roman"/>
          <w:color w:val="000000"/>
          <w:sz w:val="22"/>
        </w:rPr>
        <w:t xml:space="preserve">means a nonreciprocal transaction between the Company and its stockholders, such as a stock dividend, stock split (including a reverse stock split), spin-off or recapitalization through a large, nonrecurring cash dividend, that affects the number or kind of Shares (or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 Company securities) or the share price of Common Stock (or other Company securities) and causes a change in the per share value of the Common Stock underlying outstanding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U.S. Securities Exchange Act of 1934, as amended, and all regulations, guidance and other interpretative authority issued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 xml:space="preserve">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 xml:space="preserve">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after the effectiveness of the Company’s registration statement relating to its initial public offering but prior to the Public Trading Date, the Fair Market Value means the initial public offering price of a Share as set forth in the Company’s final prospectus relating to its initial public offering filed with the Securities and Exchange Commission.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240"/>
        <w:jc w:val="both"/>
        <w:rPr/>
      </w:pPr>
      <w:r>
        <w:rPr>
          <w:color w:val="000000"/>
        </w:rPr>
        <w:t>“</w:t>
      </w:r>
      <w:r>
        <w:rPr>
          <w:rFonts w:ascii="Times New Roman" w:hAnsi="Times New Roman"/>
          <w:b/>
          <w:i/>
          <w:color w:val="000000"/>
          <w:sz w:val="22"/>
        </w:rPr>
        <w:t>Greater Than 10% Stockholder</w:t>
      </w:r>
      <w:r>
        <w:rPr>
          <w:color w:val="000000"/>
        </w:rPr>
        <w:t xml:space="preserve">” </w:t>
      </w:r>
      <w:r>
        <w:rPr>
          <w:rFonts w:ascii="Times New Roman" w:hAnsi="Times New Roman"/>
          <w:color w:val="000000"/>
          <w:sz w:val="22"/>
        </w:rPr>
        <w:t>means an individual then owning (within the meaning of Section 424(d) of the Code) more than 10% of the total combined voting power of all classes of stock of the Company or any parent corporation or subsidiary corporation of the Company, as determined in accordance with Section 424(e) and (f) of the Code,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24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Option that meets the requirements to qualify as an “incentive stock option” as defined in Section 422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240"/>
        <w:jc w:val="both"/>
        <w:rPr/>
      </w:pPr>
      <w:r>
        <w:rPr>
          <w:color w:val="000000"/>
        </w:rPr>
        <w:t>“</w:t>
      </w:r>
      <w:r>
        <w:rPr>
          <w:rFonts w:ascii="Times New Roman" w:hAnsi="Times New Roman"/>
          <w:b/>
          <w:i/>
          <w:color w:val="000000"/>
          <w:sz w:val="22"/>
        </w:rPr>
        <w:t>Incumbent Directors”</w:t>
      </w:r>
      <w:r>
        <w:rPr>
          <w:color w:val="000000"/>
        </w:rPr>
        <w:t xml:space="preserve"> </w:t>
      </w:r>
      <w:r>
        <w:rPr>
          <w:rFonts w:ascii="Times New Roman" w:hAnsi="Times New Roman"/>
          <w:color w:val="000000"/>
          <w:sz w:val="22"/>
        </w:rPr>
        <w:t>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240"/>
        <w:jc w:val="both"/>
        <w:rPr/>
      </w:pPr>
      <w:r>
        <w:rPr>
          <w:color w:val="000000"/>
        </w:rPr>
        <w:t>“</w:t>
      </w:r>
      <w:r>
        <w:rPr>
          <w:rFonts w:ascii="Times New Roman" w:hAnsi="Times New Roman"/>
          <w:b/>
          <w:i/>
          <w:color w:val="000000"/>
          <w:sz w:val="22"/>
        </w:rPr>
        <w:t>Non-Employee</w:t>
      </w:r>
      <w:r>
        <w:rPr>
          <w:color w:val="000000"/>
        </w:rPr>
        <w:t xml:space="preserve"> </w:t>
      </w:r>
      <w:r>
        <w:rPr>
          <w:rFonts w:ascii="Times New Roman" w:hAnsi="Times New Roman"/>
          <w:b/>
          <w:i/>
          <w:color w:val="000000"/>
          <w:sz w:val="22"/>
        </w:rPr>
        <w:t>Directo</w:t>
      </w:r>
      <w:r>
        <w:rPr>
          <w:rFonts w:ascii="Times New Roman" w:hAnsi="Times New Roman"/>
          <w:i/>
          <w:color w:val="000000"/>
          <w:sz w:val="22"/>
        </w:rPr>
        <w:t>r</w:t>
      </w:r>
      <w:r>
        <w:rPr>
          <w:color w:val="000000"/>
        </w:rPr>
        <w:t xml:space="preserve">” </w:t>
      </w:r>
      <w:r>
        <w:rPr>
          <w:rFonts w:ascii="Times New Roman" w:hAnsi="Times New Roman"/>
          <w:color w:val="000000"/>
          <w:sz w:val="22"/>
        </w:rPr>
        <w:t xml:space="preserve">means a Director who is not an Employee.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24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 xml:space="preserve">means an Option that is not an Incentive Stock Option.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240"/>
        <w:jc w:val="both"/>
        <w:rPr/>
      </w:pPr>
      <w:r>
        <w:rPr>
          <w:color w:val="000000"/>
        </w:rPr>
        <w:t>“</w:t>
      </w:r>
      <w:r>
        <w:rPr>
          <w:rFonts w:ascii="Times New Roman" w:hAnsi="Times New Roman"/>
          <w:b/>
          <w:i/>
          <w:color w:val="000000"/>
          <w:sz w:val="22"/>
        </w:rPr>
        <w:t>Option</w:t>
      </w:r>
      <w:r>
        <w:rPr>
          <w:color w:val="000000"/>
        </w:rPr>
        <w:t xml:space="preserve">” </w:t>
      </w:r>
      <w:r>
        <w:rPr>
          <w:rFonts w:ascii="Times New Roman" w:hAnsi="Times New Roman"/>
          <w:color w:val="000000"/>
          <w:sz w:val="22"/>
        </w:rPr>
        <w:t>means a right granted under Article VI to purchase a specified number of Shares at a specified price per Share during a specified time period. An Option may be either an Incentive Stock Option or a Nonqualified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240"/>
        <w:jc w:val="both"/>
        <w:rPr/>
      </w:pPr>
      <w:r>
        <w:rPr>
          <w:color w:val="000000"/>
        </w:rPr>
        <w:t>“</w:t>
      </w:r>
      <w:r>
        <w:rPr>
          <w:rFonts w:ascii="Times New Roman" w:hAnsi="Times New Roman"/>
          <w:b/>
          <w:i/>
          <w:color w:val="000000"/>
          <w:sz w:val="22"/>
        </w:rPr>
        <w:t>Other Stock or Cash Based Awards</w:t>
      </w:r>
      <w:r>
        <w:rPr>
          <w:color w:val="000000"/>
        </w:rPr>
        <w:t xml:space="preserve">” </w:t>
      </w:r>
      <w:r>
        <w:rPr>
          <w:rFonts w:ascii="Times New Roman" w:hAnsi="Times New Roman"/>
          <w:color w:val="000000"/>
          <w:sz w:val="22"/>
        </w:rPr>
        <w:t>means cash awards, awards of Shares, and other awards valued wholly or partially by referring to, or are otherwise based on, Shares or other property.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240"/>
        <w:jc w:val="both"/>
        <w:rPr/>
      </w:pPr>
      <w:r>
        <w:rPr>
          <w:color w:val="000000"/>
        </w:rPr>
        <w:t>“</w:t>
      </w:r>
      <w:r>
        <w:rPr>
          <w:rFonts w:ascii="Times New Roman" w:hAnsi="Times New Roman"/>
          <w:b/>
          <w:i/>
          <w:color w:val="000000"/>
          <w:sz w:val="22"/>
        </w:rPr>
        <w:t>Overall Share Limit</w:t>
      </w:r>
      <w:r>
        <w:rPr>
          <w:color w:val="000000"/>
        </w:rPr>
        <w:t xml:space="preserve">” </w:t>
      </w:r>
      <w:r>
        <w:rPr>
          <w:rFonts w:ascii="Times New Roman" w:hAnsi="Times New Roman"/>
          <w:color w:val="000000"/>
          <w:sz w:val="22"/>
        </w:rPr>
        <w:t>means a number of Shares, which may be issued as Class A Common Stock or Class C Common Stock, equal to the sum of (i) 14,212,675 plus (ii) the number of Shares, if any, that are available for issuance under the Prior Plans as of the Effective Date plus (iii) the number of Shares, if any, that are subject to Prior Plan Awards that become available for issuance under the Plan pursuant to Article V plus (iv) an increase commencing on January 1, 2025 and continuing annually on the anniversary thereof through (and including) January 1, 2034, equal to the lesser of (A) 5% of the sum of the Shares and any Shares underlying Pre-Funded Warrants, in each case, that are outstanding on the last day of the immediately preceding calendar year and (B) such smaller number of Shares as determined by the Board or the Committee.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 Service Provider who has been granted an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240"/>
        <w:jc w:val="both"/>
        <w:rPr/>
      </w:pPr>
      <w:r>
        <w:rPr>
          <w:color w:val="000000"/>
        </w:rPr>
        <w:t>“</w:t>
      </w:r>
      <w:r>
        <w:rPr>
          <w:rFonts w:ascii="Times New Roman" w:hAnsi="Times New Roman"/>
          <w:b/>
          <w:i/>
          <w:color w:val="000000"/>
          <w:sz w:val="22"/>
        </w:rPr>
        <w:t>Performance Bonus Award</w:t>
      </w:r>
      <w:r>
        <w:rPr>
          <w:color w:val="000000"/>
        </w:rPr>
        <w:t xml:space="preserve">” </w:t>
      </w:r>
      <w:r>
        <w:rPr>
          <w:rFonts w:ascii="Times New Roman" w:hAnsi="Times New Roman"/>
          <w:color w:val="000000"/>
          <w:sz w:val="22"/>
        </w:rPr>
        <w:t>has the meaning set forth in Section 8.3.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2.36</w:t>
      </w:r>
    </w:p>
    <w:p>
      <w:pPr>
        <w:pStyle w:val="TextBody"/>
        <w:bidi w:val="0"/>
        <w:spacing w:before="0" w:after="240"/>
        <w:jc w:val="both"/>
        <w:rPr/>
      </w:pPr>
      <w:r>
        <w:rPr>
          <w:color w:val="000000"/>
        </w:rPr>
        <w:t>“</w:t>
      </w:r>
      <w:r>
        <w:rPr>
          <w:rFonts w:ascii="Times New Roman" w:hAnsi="Times New Roman"/>
          <w:b/>
          <w:i/>
          <w:color w:val="000000"/>
          <w:sz w:val="22"/>
        </w:rPr>
        <w:t>Performance Stock Unit</w:t>
      </w:r>
      <w:r>
        <w:rPr>
          <w:color w:val="000000"/>
        </w:rPr>
        <w:t xml:space="preserve">” </w:t>
      </w:r>
      <w:r>
        <w:rPr>
          <w:rFonts w:ascii="Times New Roman" w:hAnsi="Times New Roman"/>
          <w:color w:val="000000"/>
          <w:sz w:val="22"/>
        </w:rPr>
        <w:t>means a right granted to a Participant pursuant to Section 8.1 and subject to Section 8.2, to receive cash or Shares, the payment of which is contingent upon achieving certain performance goals or other performance-based targets established by the Administrator.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2.37</w:t>
      </w:r>
    </w:p>
    <w:p>
      <w:pPr>
        <w:pStyle w:val="TextBody"/>
        <w:bidi w:val="0"/>
        <w:spacing w:before="0" w:after="240"/>
        <w:jc w:val="both"/>
        <w:rPr/>
      </w:pPr>
      <w:r>
        <w:rPr>
          <w:color w:val="000000"/>
        </w:rPr>
        <w:t>“</w:t>
      </w:r>
      <w:r>
        <w:rPr>
          <w:rFonts w:ascii="Times New Roman" w:hAnsi="Times New Roman"/>
          <w:b/>
          <w:i/>
          <w:color w:val="000000"/>
          <w:sz w:val="22"/>
        </w:rPr>
        <w:t>Permitted Transferee</w:t>
      </w:r>
      <w:r>
        <w:rPr>
          <w:color w:val="000000"/>
        </w:rPr>
        <w:t xml:space="preserve">” </w:t>
      </w:r>
      <w:r>
        <w:rPr>
          <w:rFonts w:ascii="Times New Roman" w:hAnsi="Times New Roman"/>
          <w:color w:val="000000"/>
          <w:sz w:val="22"/>
        </w:rPr>
        <w:t>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2.38</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2024 Incentive Award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2.39</w:t>
      </w:r>
    </w:p>
    <w:p>
      <w:pPr>
        <w:pStyle w:val="TextBody"/>
        <w:bidi w:val="0"/>
        <w:spacing w:before="0" w:after="240"/>
        <w:jc w:val="both"/>
        <w:rPr/>
      </w:pPr>
      <w:r>
        <w:rPr>
          <w:color w:val="000000"/>
        </w:rPr>
        <w:t>“</w:t>
      </w:r>
      <w:r>
        <w:rPr>
          <w:rFonts w:ascii="Times New Roman" w:hAnsi="Times New Roman"/>
          <w:b/>
          <w:i/>
          <w:color w:val="000000"/>
          <w:sz w:val="22"/>
        </w:rPr>
        <w:t>Pre-Funded Warrant</w:t>
      </w:r>
      <w:r>
        <w:rPr>
          <w:color w:val="000000"/>
        </w:rPr>
        <w:t xml:space="preserve">” </w:t>
      </w:r>
      <w:r>
        <w:rPr>
          <w:rFonts w:ascii="Times New Roman" w:hAnsi="Times New Roman"/>
          <w:color w:val="000000"/>
          <w:sz w:val="22"/>
        </w:rPr>
        <w:t>means a warrant to purchase Shares that has an exercise price per Share that is less than or equal to $0.10.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2.40</w:t>
      </w:r>
    </w:p>
    <w:p>
      <w:pPr>
        <w:pStyle w:val="TextBody"/>
        <w:bidi w:val="0"/>
        <w:spacing w:before="0" w:after="240"/>
        <w:jc w:val="both"/>
        <w:rPr/>
      </w:pPr>
      <w:r>
        <w:rPr>
          <w:color w:val="000000"/>
        </w:rPr>
        <w:t>“</w:t>
      </w:r>
      <w:r>
        <w:rPr>
          <w:rFonts w:ascii="Times New Roman" w:hAnsi="Times New Roman"/>
          <w:b/>
          <w:i/>
          <w:color w:val="000000"/>
          <w:sz w:val="22"/>
        </w:rPr>
        <w:t>Prior Plans</w:t>
      </w:r>
      <w:r>
        <w:rPr>
          <w:color w:val="000000"/>
        </w:rPr>
        <w:t xml:space="preserve">” </w:t>
      </w:r>
      <w:r>
        <w:rPr>
          <w:rFonts w:ascii="Times New Roman" w:hAnsi="Times New Roman"/>
          <w:color w:val="000000"/>
          <w:sz w:val="22"/>
        </w:rPr>
        <w:t>means the ServiceTitan, Inc. 2015 Stock Plan and the ServiceTitan, Inc. 2007 Stock Plan, in each case, as may be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2.41</w:t>
      </w:r>
    </w:p>
    <w:p>
      <w:pPr>
        <w:pStyle w:val="TextBody"/>
        <w:bidi w:val="0"/>
        <w:spacing w:before="0" w:after="240"/>
        <w:jc w:val="both"/>
        <w:rPr/>
      </w:pPr>
      <w:r>
        <w:rPr>
          <w:color w:val="000000"/>
        </w:rPr>
        <w:t>“</w:t>
      </w:r>
      <w:r>
        <w:rPr>
          <w:rFonts w:ascii="Times New Roman" w:hAnsi="Times New Roman"/>
          <w:b/>
          <w:i/>
          <w:color w:val="000000"/>
          <w:sz w:val="22"/>
        </w:rPr>
        <w:t>Prior Plan Award</w:t>
      </w:r>
      <w:r>
        <w:rPr>
          <w:color w:val="000000"/>
        </w:rPr>
        <w:t xml:space="preserve">” </w:t>
      </w:r>
      <w:r>
        <w:rPr>
          <w:rFonts w:ascii="Times New Roman" w:hAnsi="Times New Roman"/>
          <w:color w:val="000000"/>
          <w:sz w:val="22"/>
        </w:rPr>
        <w:t>means an award outstanding under a Prior Plan as of immediately prior to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2.42</w:t>
      </w:r>
    </w:p>
    <w:p>
      <w:pPr>
        <w:pStyle w:val="TextBody"/>
        <w:bidi w:val="0"/>
        <w:spacing w:before="0" w:after="240"/>
        <w:jc w:val="both"/>
        <w:rPr/>
      </w:pPr>
      <w:r>
        <w:rPr>
          <w:color w:val="000000"/>
        </w:rPr>
        <w:t>“</w:t>
      </w:r>
      <w:r>
        <w:rPr>
          <w:rFonts w:ascii="Times New Roman" w:hAnsi="Times New Roman"/>
          <w:b/>
          <w:i/>
          <w:color w:val="000000"/>
          <w:sz w:val="22"/>
        </w:rPr>
        <w:t>Public Trading Date</w:t>
      </w:r>
      <w:r>
        <w:rPr>
          <w:color w:val="000000"/>
        </w:rPr>
        <w:t xml:space="preserve">” </w:t>
      </w:r>
      <w:r>
        <w:rPr>
          <w:rFonts w:ascii="Times New Roman" w:hAnsi="Times New Roman"/>
          <w:color w:val="000000"/>
          <w:sz w:val="22"/>
        </w:rPr>
        <w:t>means the first date upon which Common Stock is listed (or approved for listing) upon notice of issuance on any securities exchange or designated (or approved for designation) upon notice of issuance as a national market security on an interdealer quotation system.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2.43</w:t>
      </w:r>
    </w:p>
    <w:p>
      <w:pPr>
        <w:pStyle w:val="TextBody"/>
        <w:bidi w:val="0"/>
        <w:spacing w:before="0" w:after="240"/>
        <w:jc w:val="both"/>
        <w:rPr/>
      </w:pPr>
      <w:r>
        <w:rPr>
          <w:color w:val="000000"/>
        </w:rPr>
        <w:t>“</w:t>
      </w:r>
      <w:r>
        <w:rPr>
          <w:rFonts w:ascii="Times New Roman" w:hAnsi="Times New Roman"/>
          <w:b/>
          <w:i/>
          <w:color w:val="000000"/>
          <w:sz w:val="22"/>
        </w:rPr>
        <w:t>Restricted Stock</w:t>
      </w:r>
      <w:r>
        <w:rPr>
          <w:color w:val="000000"/>
        </w:rPr>
        <w:t xml:space="preserve">” </w:t>
      </w:r>
      <w:r>
        <w:rPr>
          <w:rFonts w:ascii="Times New Roman" w:hAnsi="Times New Roman"/>
          <w:color w:val="000000"/>
          <w:sz w:val="22"/>
        </w:rPr>
        <w:t>means Shares awarded to a Participant under Article VII, subject to certain vesting conditions and other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2.44</w:t>
      </w:r>
    </w:p>
    <w:p>
      <w:pPr>
        <w:pStyle w:val="TextBody"/>
        <w:bidi w:val="0"/>
        <w:spacing w:before="0" w:after="240"/>
        <w:jc w:val="both"/>
        <w:rPr/>
      </w:pPr>
      <w:r>
        <w:rPr>
          <w:color w:val="000000"/>
        </w:rPr>
        <w:t>“</w:t>
      </w:r>
      <w:r>
        <w:rPr>
          <w:rFonts w:ascii="Times New Roman" w:hAnsi="Times New Roman"/>
          <w:b/>
          <w:i/>
          <w:color w:val="000000"/>
          <w:sz w:val="22"/>
        </w:rPr>
        <w:t>Restricted Stock Unit</w:t>
      </w:r>
      <w:r>
        <w:rPr>
          <w:color w:val="000000"/>
        </w:rPr>
        <w:t xml:space="preserve">” </w:t>
      </w:r>
      <w:r>
        <w:rPr>
          <w:rFonts w:ascii="Times New Roman" w:hAnsi="Times New Roman"/>
          <w:color w:val="000000"/>
          <w:sz w:val="22"/>
        </w:rPr>
        <w:t>means an unfunded, unsecured right to receive, on the applicable settlement date, one Share or an amount in cash or other consideration determined by the Administrator to be equal to the Fair Market Value as of such settlement date, subject to certain vesting conditions and other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2.45</w:t>
      </w:r>
    </w:p>
    <w:p>
      <w:pPr>
        <w:pStyle w:val="TextBody"/>
        <w:bidi w:val="0"/>
        <w:spacing w:before="0" w:after="240"/>
        <w:jc w:val="both"/>
        <w:rPr/>
      </w:pPr>
      <w:r>
        <w:rPr>
          <w:color w:val="000000"/>
        </w:rPr>
        <w:t>“</w:t>
      </w:r>
      <w:r>
        <w:rPr>
          <w:rFonts w:ascii="Times New Roman" w:hAnsi="Times New Roman"/>
          <w:b/>
          <w:i/>
          <w:color w:val="000000"/>
          <w:sz w:val="22"/>
        </w:rPr>
        <w:t>Rule 16b-3</w:t>
      </w:r>
      <w:r>
        <w:rPr>
          <w:color w:val="000000"/>
        </w:rPr>
        <w:t xml:space="preserve">” </w:t>
      </w:r>
      <w:r>
        <w:rPr>
          <w:rFonts w:ascii="Times New Roman" w:hAnsi="Times New Roman"/>
          <w:color w:val="000000"/>
          <w:sz w:val="22"/>
        </w:rPr>
        <w:t>means Rule 16b-3 promulgated under the Exchange Act, including any amendments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2.46</w:t>
      </w:r>
    </w:p>
    <w:p>
      <w:pPr>
        <w:pStyle w:val="TextBody"/>
        <w:bidi w:val="0"/>
        <w:spacing w:before="0" w:after="240"/>
        <w:jc w:val="both"/>
        <w:rPr/>
      </w:pPr>
      <w:r>
        <w:rPr>
          <w:color w:val="000000"/>
        </w:rPr>
        <w:t>“</w:t>
      </w:r>
      <w:r>
        <w:rPr>
          <w:rFonts w:ascii="Times New Roman" w:hAnsi="Times New Roman"/>
          <w:b/>
          <w:i/>
          <w:color w:val="000000"/>
          <w:sz w:val="22"/>
        </w:rPr>
        <w:t>Section 409A</w:t>
      </w:r>
      <w:r>
        <w:rPr>
          <w:color w:val="000000"/>
        </w:rPr>
        <w:t xml:space="preserve">” </w:t>
      </w:r>
      <w:r>
        <w:rPr>
          <w:rFonts w:ascii="Times New Roman" w:hAnsi="Times New Roman"/>
          <w:color w:val="000000"/>
          <w:sz w:val="22"/>
        </w:rPr>
        <w:t>means Section 409A of the Code and the regulations promulgated thereunder by the United States Treasury Department, as amended or as may be amended from time to time.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2.47</w:t>
      </w:r>
    </w:p>
    <w:p>
      <w:pPr>
        <w:pStyle w:val="TextBody"/>
        <w:bidi w:val="0"/>
        <w:spacing w:before="0" w:after="24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means the U.S. Securities Act of 1933, as amended, and all regulations, guidance and other interpretative authority issued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2.48</w:t>
      </w:r>
    </w:p>
    <w:p>
      <w:pPr>
        <w:pStyle w:val="TextBody"/>
        <w:bidi w:val="0"/>
        <w:spacing w:before="0" w:after="240"/>
        <w:jc w:val="both"/>
        <w:rPr/>
      </w:pPr>
      <w:r>
        <w:rPr>
          <w:color w:val="000000"/>
        </w:rPr>
        <w:t>“</w:t>
      </w:r>
      <w:r>
        <w:rPr>
          <w:rFonts w:ascii="Times New Roman" w:hAnsi="Times New Roman"/>
          <w:b/>
          <w:i/>
          <w:color w:val="000000"/>
          <w:sz w:val="22"/>
        </w:rPr>
        <w:t>Service Provider</w:t>
      </w:r>
      <w:r>
        <w:rPr>
          <w:color w:val="000000"/>
        </w:rPr>
        <w:t xml:space="preserve">” </w:t>
      </w:r>
      <w:r>
        <w:rPr>
          <w:rFonts w:ascii="Times New Roman" w:hAnsi="Times New Roman"/>
          <w:color w:val="000000"/>
          <w:sz w:val="22"/>
        </w:rPr>
        <w:t>means an Employee, Consultant or Director.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2.49</w:t>
      </w:r>
    </w:p>
    <w:p>
      <w:pPr>
        <w:pStyle w:val="TextBody"/>
        <w:bidi w:val="0"/>
        <w:spacing w:before="0" w:after="240"/>
        <w:jc w:val="both"/>
        <w:rPr/>
      </w:pPr>
      <w:r>
        <w:rPr>
          <w:color w:val="000000"/>
        </w:rPr>
        <w:t>“</w:t>
      </w:r>
      <w:r>
        <w:rPr>
          <w:rFonts w:ascii="Times New Roman" w:hAnsi="Times New Roman"/>
          <w:b/>
          <w:i/>
          <w:color w:val="000000"/>
          <w:sz w:val="22"/>
        </w:rPr>
        <w:t>Shares</w:t>
      </w:r>
      <w:r>
        <w:rPr>
          <w:color w:val="000000"/>
        </w:rPr>
        <w:t xml:space="preserve">” </w:t>
      </w:r>
      <w:r>
        <w:rPr>
          <w:rFonts w:ascii="Times New Roman" w:hAnsi="Times New Roman"/>
          <w:color w:val="000000"/>
          <w:sz w:val="22"/>
        </w:rPr>
        <w:t>means shares of Common Stock, whether Class A Common Stock, Class B Common Stock or Class C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2.50</w:t>
      </w:r>
    </w:p>
    <w:p>
      <w:pPr>
        <w:pStyle w:val="TextBody"/>
        <w:bidi w:val="0"/>
        <w:spacing w:before="0" w:after="240"/>
        <w:jc w:val="both"/>
        <w:rPr/>
      </w:pPr>
      <w:r>
        <w:rPr>
          <w:color w:val="000000"/>
        </w:rPr>
        <w:t>“</w:t>
      </w:r>
      <w:r>
        <w:rPr>
          <w:rFonts w:ascii="Times New Roman" w:hAnsi="Times New Roman"/>
          <w:b/>
          <w:i/>
          <w:color w:val="000000"/>
          <w:sz w:val="22"/>
        </w:rPr>
        <w:t>Stock Appreciation Right</w:t>
      </w:r>
      <w:r>
        <w:rPr>
          <w:color w:val="000000"/>
        </w:rPr>
        <w:t xml:space="preserve">” </w:t>
      </w:r>
      <w:r>
        <w:rPr>
          <w:rFonts w:ascii="Times New Roman" w:hAnsi="Times New Roman"/>
          <w:color w:val="000000"/>
          <w:sz w:val="22"/>
        </w:rPr>
        <w:t>or “</w:t>
      </w:r>
      <w:r>
        <w:rPr>
          <w:rFonts w:ascii="Times New Roman" w:hAnsi="Times New Roman"/>
          <w:b/>
          <w:i/>
          <w:color w:val="000000"/>
          <w:sz w:val="22"/>
        </w:rPr>
        <w:t>SAR</w:t>
      </w:r>
      <w:r>
        <w:rPr>
          <w:color w:val="000000"/>
        </w:rPr>
        <w:t xml:space="preserve">” </w:t>
      </w:r>
      <w:r>
        <w:rPr>
          <w:rFonts w:ascii="Times New Roman" w:hAnsi="Times New Roman"/>
          <w:color w:val="000000"/>
          <w:sz w:val="22"/>
        </w:rPr>
        <w:t>means a right granted under Article VI to receive a payment equal to the excess of the Fair Market Value of a specified number of Shares on the date the right is exercised over the exercise price set forth in the applicable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2.51</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2.52</w:t>
      </w:r>
    </w:p>
    <w:p>
      <w:pPr>
        <w:pStyle w:val="TextBody"/>
        <w:bidi w:val="0"/>
        <w:spacing w:before="0" w:after="240"/>
        <w:jc w:val="both"/>
        <w:rPr/>
      </w:pPr>
      <w:r>
        <w:rPr>
          <w:color w:val="000000"/>
        </w:rPr>
        <w:t>“</w:t>
      </w:r>
      <w:r>
        <w:rPr>
          <w:rFonts w:ascii="Times New Roman" w:hAnsi="Times New Roman"/>
          <w:b/>
          <w:i/>
          <w:color w:val="000000"/>
          <w:sz w:val="22"/>
        </w:rPr>
        <w:t>Substitute Awards</w:t>
      </w:r>
      <w:r>
        <w:rPr>
          <w:color w:val="000000"/>
        </w:rPr>
        <w:t xml:space="preserve">” </w:t>
      </w:r>
      <w:r>
        <w:rPr>
          <w:rFonts w:ascii="Times New Roman" w:hAnsi="Times New Roman"/>
          <w:color w:val="000000"/>
          <w:sz w:val="22"/>
        </w:rPr>
        <w:t>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2.53</w:t>
      </w:r>
    </w:p>
    <w:p>
      <w:pPr>
        <w:pStyle w:val="TextBody"/>
        <w:bidi w:val="0"/>
        <w:spacing w:before="0" w:after="240"/>
        <w:jc w:val="both"/>
        <w:rPr/>
      </w:pPr>
      <w:r>
        <w:rPr>
          <w:color w:val="000000"/>
        </w:rPr>
        <w:t>“</w:t>
      </w:r>
      <w:r>
        <w:rPr>
          <w:rFonts w:ascii="Times New Roman" w:hAnsi="Times New Roman"/>
          <w:b/>
          <w:i/>
          <w:color w:val="000000"/>
          <w:sz w:val="22"/>
        </w:rPr>
        <w:t>Tax-Related Items</w:t>
      </w:r>
      <w:r>
        <w:rPr>
          <w:color w:val="000000"/>
        </w:rPr>
        <w:t xml:space="preserve">” </w:t>
      </w:r>
      <w:r>
        <w:rPr>
          <w:rFonts w:ascii="Times New Roman" w:hAnsi="Times New Roman"/>
          <w:color w:val="000000"/>
          <w:sz w:val="22"/>
        </w:rPr>
        <w:t>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2.54</w:t>
      </w:r>
    </w:p>
    <w:p>
      <w:pPr>
        <w:pStyle w:val="TextBody"/>
        <w:bidi w:val="0"/>
        <w:spacing w:before="0" w:after="24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means: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work schedules, such as part time, or particular leaves of absence constitute a Termination of Service. For purposes of the Plan, except as otherwise determined by the Administrator, a Participant’s employee-employer relationship or consultancy relationship shall be deemed to be terminated in the event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Administration and Delegation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 xml:space="preserve">Administration.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the Administrator or member thereof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Delegation of Authority</w:t>
      </w:r>
      <w:r>
        <w:rPr>
          <w:rFonts w:ascii="Times New Roman" w:hAnsi="Times New Roman"/>
          <w:color w:val="000000"/>
          <w:sz w:val="22"/>
        </w:rPr>
        <w:t>. To the extent permitted by Applicable Law, the Board or any Committee may delegate any or all of its powers under the Plan to one or more Committees or officers of the Company or any of its Subsidiaries; provided,</w:t>
      </w:r>
      <w:r>
        <w:rPr>
          <w:color w:val="000000"/>
        </w:rPr>
        <w:t xml:space="preserve"> </w:t>
      </w:r>
      <w:r>
        <w:rPr>
          <w:rFonts w:ascii="Times New Roman" w:hAnsi="Times New Roman"/>
          <w:color w:val="000000"/>
          <w:sz w:val="22"/>
        </w:rPr>
        <w:t xml:space="preserve">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organizational documents, and the Board or Committee, as applicable, may at any time rescind the authority so delegated or appoint a new delegatee. At all times, the delegatee appointed under this Section 4.2</w:t>
      </w:r>
      <w:r>
        <w:rPr>
          <w:smallCaps/>
          <w:color w:val="000000"/>
        </w:rPr>
        <w:t xml:space="preserve"> </w:t>
      </w:r>
      <w:r>
        <w:rPr>
          <w:rFonts w:ascii="Times New Roman" w:hAnsi="Times New Roman"/>
          <w:color w:val="000000"/>
          <w:sz w:val="22"/>
        </w:rPr>
        <w:t>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Board or Committee under the rules of any securities exchange or automated quotation system on which the Shares are listed, quoted or traded.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w:t>
      </w:r>
    </w:p>
    <w:p>
      <w:pPr>
        <w:pStyle w:val="TextBody"/>
        <w:bidi w:val="0"/>
        <w:spacing w:before="0" w:after="240"/>
        <w:jc w:val="center"/>
        <w:rPr/>
      </w:pPr>
      <w:r>
        <w:rPr>
          <w:rFonts w:ascii="Times New Roman" w:hAnsi="Times New Roman"/>
          <w:caps/>
          <w:color w:val="000000"/>
          <w:sz w:val="22"/>
        </w:rPr>
        <w:br/>
      </w:r>
      <w:r>
        <w:rPr>
          <w:rFonts w:ascii="Times New Roman" w:hAnsi="Times New Roman"/>
          <w:b/>
          <w:caps/>
          <w:color w:val="000000"/>
          <w:sz w:val="22"/>
        </w:rPr>
        <w:t>Stock Available for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u w:val="single"/>
        </w:rPr>
        <w:t>Number of Shares</w:t>
      </w:r>
      <w:r>
        <w:rPr>
          <w:rFonts w:ascii="Times New Roman" w:hAnsi="Times New Roman"/>
          <w:color w:val="000000"/>
          <w:sz w:val="22"/>
        </w:rPr>
        <w:t>. Subject to adjustment under Article IX and the terms of this Article V, Awards may be made under the Plan covering up to the Overall Share Limit. As of the Effective Date, the Company will cease granting awards under the Prior Plans; however, Prior Plan Awards will remain subject to the terms of the applicable Prior Plan. Shares issued or delivered under the Plan may be in the form of Class A Common Stock or Class C Common Stock and consist of authorized but unissued Shares, Shares purchased on the open market or treasury Shares.</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u w:val="single"/>
        </w:rPr>
        <w:t>Share Recycling</w:t>
      </w:r>
      <w:r>
        <w:rPr>
          <w:rFonts w:ascii="Times New Roman" w:hAnsi="Times New Roman"/>
          <w:color w:val="000000"/>
          <w:sz w:val="22"/>
        </w:rPr>
        <w:t>.</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all or any part of an Award or Prior Plan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a number of Shares equal to the number of unused Shares covered by the Award or Prior Plan Award will, as applicable, become or again be available for Awards under the Plan. The payment of Dividend Equivalents in cash in conjunction with any outstanding Awards or Prior Plan Awards shall not count against the Overall Share Limit.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addition, the following shall add to the number of Shares available for future grants of Awards: (i) Shares tendered by a Participant or withheld by the Company in payment of the exercise price of an Option or any stock option granted under a Prior Plan; (ii) Shares tendered by the Participant or withheld by the Company to satisfy any tax withholding obligation with respect to an Award or any Prior Plan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color w:val="000000"/>
          <w:sz w:val="22"/>
          <w:u w:val="single"/>
        </w:rPr>
        <w:t>Incentive Stock Option Limitations</w:t>
      </w:r>
      <w:r>
        <w:rPr>
          <w:rFonts w:ascii="Times New Roman" w:hAnsi="Times New Roman"/>
          <w:color w:val="000000"/>
          <w:sz w:val="22"/>
        </w:rPr>
        <w:t>. Notwithstanding anything to the contrary herein, no more than 82,500,000 Shares (as adjusted to reflect any Equity Restructuring) may be issued pursuant to the exercise of Incentive Stock Options.</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pPr>
      <w:r>
        <w:rPr>
          <w:rFonts w:ascii="Times New Roman" w:hAnsi="Times New Roman"/>
          <w:color w:val="000000"/>
          <w:sz w:val="22"/>
          <w:u w:val="single"/>
        </w:rPr>
        <w:t>Substitute Awards</w:t>
      </w:r>
      <w:r>
        <w:rPr>
          <w:rFonts w:ascii="Times New Roman" w:hAnsi="Times New Roman"/>
          <w:color w:val="000000"/>
          <w:sz w:val="22"/>
        </w:rPr>
        <w:t xml:space="preserve">.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Shares subject to a Substitute Award be added to the Shares available for Awards under the Plan as provided under Section 5.2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count against the Overall Share Limit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240"/>
        <w:jc w:val="both"/>
        <w:rPr/>
      </w:pPr>
      <w:r>
        <w:rPr>
          <w:rFonts w:ascii="Times New Roman" w:hAnsi="Times New Roman"/>
          <w:color w:val="000000"/>
          <w:sz w:val="22"/>
          <w:u w:val="single"/>
        </w:rPr>
        <w:t>Non-Employee Director Award Limit</w:t>
      </w:r>
      <w:r>
        <w:rPr>
          <w:rFonts w:ascii="Times New Roman" w:hAnsi="Times New Roman"/>
          <w:color w:val="000000"/>
          <w:sz w:val="22"/>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under the Plan shall not exceed $1,000,000 for such Service Provider’s first year of service as a Non-Employee Director and $750,000 for each year thereafter.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Stock Options and Stock Appreciation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The Administrator will establish each Option’s and Stock Appreciation Right’s exercise price and specify the exercise price in the Award Agreement. Subject to Section 6.7,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on the date of grant; provided that the exercise price of any Substitute Award shall be determined in accordance with the applicable requirements of Sections 424 and 409A of the Code.</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color w:val="000000"/>
          <w:sz w:val="22"/>
          <w:u w:val="single"/>
        </w:rPr>
        <w:t>Duration of Options</w:t>
      </w:r>
      <w:r>
        <w:rPr>
          <w:rFonts w:ascii="Times New Roman" w:hAnsi="Times New Roman"/>
          <w:color w:val="000000"/>
          <w:sz w:val="22"/>
        </w:rPr>
        <w:t xml:space="preserve">. Subject to Section 6.7, each Option or Stock Appreciation Right will be exercisable at such times and as specified in the Award Agreement, provided that the term of an Option or Stock Appreciation Right will not exceed ten years; provided, further, that, unless otherwise determined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color w:val="000000"/>
          <w:sz w:val="22"/>
          <w:u w:val="single"/>
        </w:rPr>
        <w:t>Exercise</w:t>
      </w:r>
      <w:r>
        <w:rPr>
          <w:rFonts w:ascii="Times New Roman" w:hAnsi="Times New Roman"/>
          <w:color w:val="000000"/>
          <w:sz w:val="22"/>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color w:val="000000"/>
          <w:sz w:val="22"/>
          <w:u w:val="single"/>
        </w:rPr>
        <w:t>Payment Upon Exercise</w:t>
      </w:r>
      <w:r>
        <w:rPr>
          <w:rFonts w:ascii="Times New Roman" w:hAnsi="Times New Roman"/>
          <w:color w:val="000000"/>
          <w:sz w:val="22"/>
        </w:rPr>
        <w:t xml:space="preserve">. The Administrator shall determine the methods by which payment of the exercise price of an Option shall be made, including, without limitation: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check or wire transfer of immediately available funds; provided that the Company may limit the use of one of the foregoing methods if one or more of the methods below is permitted;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delivery (either by actual delivery or attestation) of Shares owned by the Participant valued at their Fair Market Value on the date of delivery;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the extent permitted by the Administrator, surrendering Shares then issuable upon the Option’s exercise valued at their Fair Market Value on the exercise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delivery of a promissory note or any other lawful consideration; 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permitted by the Administrator, any combination of the above payment forms.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color w:val="000000"/>
          <w:sz w:val="22"/>
          <w:u w:val="single"/>
        </w:rPr>
        <w:t>Expiration of Option Term or Stock Appreciation Right Term: Automatic Exercise of In-The-Money Options and Stock Appreciation Rights</w:t>
      </w:r>
      <w:r>
        <w:rPr>
          <w:rFonts w:ascii="Times New Roman" w:hAnsi="Times New Roman"/>
          <w:color w:val="000000"/>
          <w:sz w:val="22"/>
        </w:rPr>
        <w:t>. Unless otherwise provided by the Administrator in an Award Agreement or otherwise or as otherwise directed by a holder of an Option or a Stock Appreciation Right in writing to the Company, each vested and exercisable Option and Stock Appreciation Right outstanding on the Automatic Exercise Date with an exercise price per Share that is less than the sum of the Fair Market Value and any related broker’s fees (as described in Section 11.19(c)) per Share as of such date shall automatically and without further action by the holder of the Option or Stock Appreciation Right or the Company be exercised on the Automatic Exercise Date. In the sole discretion of the Administrator, payment of the exercise price of any such Option shall be made pursuant to Section 6.5(b) or 6.5(d) and the Company or any Subsidiary shall be entitled to deduct or withhold an amount sufficient to satisfy any withholding obligation for Tax-Related Items associated with such exercise in accordance with Section 10.5. Unless otherwise determined by the Administrator, this Section 6.6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on the Automatic Exercise Date shall be exercised pursuant to this Section 6.6.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color w:val="000000"/>
          <w:sz w:val="22"/>
          <w:u w:val="single"/>
        </w:rPr>
        <w:t>Additional Terms of Incentive Stock Options</w:t>
      </w:r>
      <w:r>
        <w:rPr>
          <w:rFonts w:ascii="Times New Roman" w:hAnsi="Times New Roman"/>
          <w:color w:val="000000"/>
          <w:sz w:val="22"/>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the later of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Restricted Stock; Restricted Stock Units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The Administrator may grant Restricted Stock, or the right to purchase Restricted Stock, to any Service Provider,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2"/>
          <w:u w:val="single"/>
        </w:rPr>
        <w:t>Restricted Stock</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Stockholder Rights</w:t>
      </w:r>
      <w:r>
        <w:rPr>
          <w:rFonts w:ascii="Times New Roman" w:hAnsi="Times New Roman"/>
          <w:color w:val="000000"/>
          <w:sz w:val="22"/>
        </w:rPr>
        <w:t>. Unless otherwise determined by the Administrator, each Participant holding Shares of Restricted 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Stock Certificates</w:t>
      </w:r>
      <w:r>
        <w:rPr>
          <w:rFonts w:ascii="Times New Roman" w:hAnsi="Times New Roman"/>
          <w:color w:val="000000"/>
          <w:sz w:val="22"/>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Section 83(b) Election</w:t>
      </w:r>
      <w:r>
        <w:rPr>
          <w:rFonts w:ascii="Times New Roman" w:hAnsi="Times New Roman"/>
          <w:color w:val="000000"/>
          <w:sz w:val="22"/>
        </w:rPr>
        <w:t xml:space="preserve">.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2"/>
          <w:u w:val="single"/>
        </w:rPr>
        <w:t>Restricted Stock Units</w:t>
      </w:r>
      <w:r>
        <w:rPr>
          <w:rFonts w:ascii="Times New Roman" w:hAnsi="Times New Roman"/>
          <w:color w:val="000000"/>
          <w:sz w:val="22"/>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OTHER TYPES OF AWARDS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color w:val="000000"/>
          <w:sz w:val="22"/>
          <w:u w:val="single"/>
        </w:rPr>
        <w:t>Performance Stock Unit Awards</w:t>
      </w:r>
      <w:r>
        <w:rPr>
          <w:rFonts w:ascii="Times New Roman" w:hAnsi="Times New Roman"/>
          <w:color w:val="000000"/>
          <w:sz w:val="22"/>
        </w:rPr>
        <w:t xml:space="preserve">.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determinations, the Administrator may consider (among such other factors as it deems relevant in light of the specific type of award) the contributions, responsibilities and other compensation of the particular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color w:val="000000"/>
          <w:sz w:val="22"/>
          <w:u w:val="single"/>
        </w:rPr>
        <w:t>Performance Bonus Awards</w:t>
      </w:r>
      <w:r>
        <w:rPr>
          <w:rFonts w:ascii="Times New Roman" w:hAnsi="Times New Roman"/>
          <w:color w:val="000000"/>
          <w:sz w:val="22"/>
        </w:rPr>
        <w:t>. Each right to receive a bonus granted under this Section 8.3 shall be denominated in the form of cash (but may be payable in cash, stock or a combination thereof) (a “</w:t>
      </w:r>
      <w:r>
        <w:rPr>
          <w:rFonts w:ascii="Times New Roman" w:hAnsi="Times New Roman"/>
          <w:b/>
          <w:i/>
          <w:color w:val="000000"/>
          <w:sz w:val="22"/>
        </w:rPr>
        <w:t>Performance Bonus Award</w:t>
      </w:r>
      <w:r>
        <w:rPr>
          <w:color w:val="000000"/>
        </w:rPr>
        <w:t>”</w:t>
      </w:r>
      <w:r>
        <w:rPr>
          <w:rFonts w:ascii="Times New Roman" w:hAnsi="Times New Roman"/>
          <w:color w:val="000000"/>
          <w:sz w:val="22"/>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color w:val="000000"/>
          <w:sz w:val="22"/>
          <w:u w:val="single"/>
        </w:rPr>
        <w:t>Dividend Equivalents</w:t>
      </w:r>
      <w:r>
        <w:rPr>
          <w:rFonts w:ascii="Times New Roman" w:hAnsi="Times New Roman"/>
          <w:color w:val="000000"/>
          <w:sz w:val="22"/>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color w:val="000000"/>
          <w:sz w:val="22"/>
          <w:u w:val="single"/>
        </w:rPr>
        <w:t>Other Stock or Cash Based Awards</w:t>
      </w:r>
      <w:r>
        <w:rPr>
          <w:rFonts w:ascii="Times New Roman" w:hAnsi="Times New Roman"/>
          <w:color w:val="000000"/>
          <w:sz w:val="22"/>
        </w:rPr>
        <w:t xml:space="preserve">.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or an exemption from,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IX.</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 xml:space="preserve">Adjustments for Changes in Common Stock </w:t>
        <w:br/>
        <w:t>and Certain Other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240"/>
        <w:jc w:val="both"/>
        <w:rPr/>
      </w:pPr>
      <w:r>
        <w:rPr>
          <w:rFonts w:ascii="Times New Roman" w:hAnsi="Times New Roman"/>
          <w:color w:val="000000"/>
          <w:sz w:val="22"/>
          <w:u w:val="single"/>
        </w:rPr>
        <w:t>Equity Restructuring</w:t>
      </w:r>
      <w:r>
        <w:rPr>
          <w:rFonts w:ascii="Times New Roman" w:hAnsi="Times New Roman"/>
          <w:color w:val="000000"/>
          <w:sz w:val="22"/>
        </w:rPr>
        <w:t xml:space="preserve">. In connection with any Equity Restructuring, notwithstanding anything to the contrary in this Article IX, the Administrator will equitably adjust the terms of the Plan and each outstanding Award as it deems appropriate to reflect the Equity Restructuring, which may include (a)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(b) adjusting the terms and conditions of (including the grant or exercise price), and the performance goals or other criteria included in, outstanding Awards; and (c) granting new Awards or making cash payments to Participants. The adjustments provided under this Section 9.1 will be nondiscretionary and final and binding on all interested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parties, including the affected Participant and the Company; provided that the Administrator will determine whether an adjustment is equitable.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240"/>
        <w:jc w:val="both"/>
        <w:rPr/>
      </w:pPr>
      <w:r>
        <w:rPr>
          <w:rFonts w:ascii="Times New Roman" w:hAnsi="Times New Roman"/>
          <w:color w:val="000000"/>
          <w:sz w:val="22"/>
          <w:u w:val="single"/>
        </w:rPr>
        <w:t>Corporate Transactions</w:t>
      </w:r>
      <w:r>
        <w:rPr>
          <w:rFonts w:ascii="Times New Roman" w:hAnsi="Times New Roman"/>
          <w:color w:val="000000"/>
          <w:sz w:val="22"/>
        </w:rPr>
        <w:t xml:space="preserve">.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provide that such Award shall vest and, to the extent applicable, be exercisable as to all Shares (or other property) covered thereby, notwithstanding anything to the contrary in the Plan or the provisions of such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replace such Award with other rights or property selected by the Administrator;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provide that the Award will terminate and cannot vest, be exercised or become payable after the applicable event.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240"/>
        <w:jc w:val="both"/>
        <w:rPr/>
      </w:pPr>
      <w:r>
        <w:rPr>
          <w:rFonts w:ascii="Times New Roman" w:hAnsi="Times New Roman"/>
          <w:color w:val="000000"/>
          <w:sz w:val="22"/>
          <w:u w:val="single"/>
        </w:rPr>
        <w:t>Change in Control</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that the successor corporation in a Change in Control refuses to assume or substitute for an Award (other than any portion subject to performance-based vesting, which 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15 days if no period is determined by the Administrator), contingent upon the occurrence of the Change in Control, and such Award shall terminate upon the consummation of the Change in Control in accordance with the preceding sentence.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9.4</w:t>
      </w:r>
    </w:p>
    <w:p>
      <w:pPr>
        <w:pStyle w:val="TextBody"/>
        <w:bidi w:val="0"/>
        <w:spacing w:before="0" w:after="240"/>
        <w:jc w:val="both"/>
        <w:rPr/>
      </w:pPr>
      <w:r>
        <w:rPr>
          <w:rFonts w:ascii="Times New Roman" w:hAnsi="Times New Roman"/>
          <w:color w:val="000000"/>
          <w:sz w:val="22"/>
          <w:u w:val="single"/>
        </w:rPr>
        <w:t>Administrative Stand Still</w:t>
      </w:r>
      <w:r>
        <w:rPr>
          <w:rFonts w:ascii="Times New Roman" w:hAnsi="Times New Roman"/>
          <w:color w:val="000000"/>
          <w:sz w:val="22"/>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9.5</w:t>
      </w:r>
    </w:p>
    <w:p>
      <w:pPr>
        <w:pStyle w:val="TextBody"/>
        <w:bidi w:val="0"/>
        <w:spacing w:before="0" w:after="240"/>
        <w:jc w:val="both"/>
        <w:rPr/>
      </w:pPr>
      <w:r>
        <w:rPr>
          <w:rFonts w:ascii="Times New Roman" w:hAnsi="Times New Roman"/>
          <w:color w:val="000000"/>
          <w:sz w:val="22"/>
          <w:u w:val="single"/>
        </w:rPr>
        <w:t>General</w:t>
      </w:r>
      <w:r>
        <w:rPr>
          <w:rFonts w:ascii="Times New Roman" w:hAnsi="Times New Roman"/>
          <w:color w:val="000000"/>
          <w:sz w:val="22"/>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no adjustment will be made regarding, the number of Shares subject to an Award or the Award’s grant price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spinoff, dissolution or liquidation of the Company or sale of Company assets or (c) any sale or issuance of securities, including securities with rights superior to those of the Shares or securities convertible into or exchangeable for Shares.</w:t>
      </w:r>
      <w:r>
        <w:rPr>
          <w:color w:val="00000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w:t>
      </w:r>
    </w:p>
    <w:p>
      <w:pPr>
        <w:pStyle w:val="TextBody"/>
        <w:bidi w:val="0"/>
        <w:spacing w:before="0" w:after="240"/>
        <w:jc w:val="center"/>
        <w:rPr/>
      </w:pPr>
      <w:r>
        <w:rPr>
          <w:rFonts w:ascii="Times New Roman" w:hAnsi="Times New Roman"/>
          <w:b/>
          <w:caps/>
          <w:color w:val="000000"/>
          <w:sz w:val="22"/>
        </w:rPr>
        <w:br/>
        <w:t>Provisions Applicable to Awards</w:t>
      </w:r>
      <w:r>
        <w:rPr>
          <w:caps/>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240"/>
        <w:jc w:val="both"/>
        <w:rPr/>
      </w:pPr>
      <w:r>
        <w:rPr>
          <w:rFonts w:ascii="Times New Roman" w:hAnsi="Times New Roman"/>
          <w:color w:val="000000"/>
          <w:sz w:val="22"/>
          <w:u w:val="single"/>
        </w:rPr>
        <w:t>Transferability</w:t>
      </w:r>
      <w:r>
        <w:rPr>
          <w:rFonts w:ascii="Times New Roman" w:hAnsi="Times New Roman"/>
          <w:color w:val="000000"/>
          <w:sz w:val="22"/>
        </w:rPr>
        <w:t>.</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240"/>
        <w:jc w:val="both"/>
        <w:rPr/>
      </w:pPr>
      <w:r>
        <w:rPr>
          <w:rFonts w:ascii="Times New Roman" w:hAnsi="Times New Roman"/>
          <w:color w:val="000000"/>
          <w:sz w:val="22"/>
          <w:u w:val="single"/>
        </w:rPr>
        <w:t>Documentation</w:t>
      </w:r>
      <w:r>
        <w:rPr>
          <w:rFonts w:ascii="Times New Roman" w:hAnsi="Times New Roman"/>
          <w:color w:val="000000"/>
          <w:sz w:val="22"/>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240"/>
        <w:jc w:val="both"/>
        <w:rPr/>
      </w:pPr>
      <w:r>
        <w:rPr>
          <w:rFonts w:ascii="Times New Roman" w:hAnsi="Times New Roman"/>
          <w:color w:val="000000"/>
          <w:sz w:val="22"/>
          <w:u w:val="single"/>
        </w:rPr>
        <w:t>Discretion</w:t>
      </w:r>
      <w:r>
        <w:rPr>
          <w:rFonts w:ascii="Times New Roman" w:hAnsi="Times New Roman"/>
          <w:color w:val="000000"/>
          <w:sz w:val="22"/>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10.4</w:t>
      </w:r>
    </w:p>
    <w:p>
      <w:pPr>
        <w:pStyle w:val="TextBody"/>
        <w:bidi w:val="0"/>
        <w:spacing w:before="0" w:after="240"/>
        <w:jc w:val="both"/>
        <w:rPr/>
      </w:pPr>
      <w:r>
        <w:rPr>
          <w:rFonts w:ascii="Times New Roman" w:hAnsi="Times New Roman"/>
          <w:color w:val="000000"/>
          <w:sz w:val="22"/>
          <w:u w:val="single"/>
        </w:rPr>
        <w:t>Changes in Participant’s Status</w:t>
      </w:r>
      <w:r>
        <w:rPr>
          <w:rFonts w:ascii="Times New Roman" w:hAnsi="Times New Roman"/>
          <w:color w:val="000000"/>
          <w:sz w:val="22"/>
        </w:rPr>
        <w:t>. The Administrator will determine how the disability, death, retirement, authorized leave of absence, work schedule, including part-time or seasonal work,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10.5</w:t>
      </w:r>
    </w:p>
    <w:p>
      <w:pPr>
        <w:pStyle w:val="TextBody"/>
        <w:bidi w:val="0"/>
        <w:spacing w:before="0" w:after="240"/>
        <w:jc w:val="both"/>
        <w:rPr/>
      </w:pPr>
      <w:r>
        <w:rPr>
          <w:rFonts w:ascii="Times New Roman" w:hAnsi="Times New Roman"/>
          <w:color w:val="000000"/>
          <w:sz w:val="22"/>
          <w:u w:val="single"/>
        </w:rPr>
        <w:t>Withholding</w:t>
      </w:r>
      <w:r>
        <w:rPr>
          <w:rFonts w:ascii="Times New Roman" w:hAnsi="Times New Roman"/>
          <w:color w:val="000000"/>
          <w:sz w:val="22"/>
        </w:rPr>
        <w:t>. Each Participant must pay the Company or a Subsidiary,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10.6</w:t>
      </w:r>
    </w:p>
    <w:p>
      <w:pPr>
        <w:pStyle w:val="TextBody"/>
        <w:bidi w:val="0"/>
        <w:spacing w:before="0" w:after="240"/>
        <w:jc w:val="both"/>
        <w:rPr/>
      </w:pPr>
      <w:r>
        <w:rPr>
          <w:rFonts w:ascii="Times New Roman" w:hAnsi="Times New Roman"/>
          <w:color w:val="000000"/>
          <w:sz w:val="22"/>
          <w:u w:val="single"/>
        </w:rPr>
        <w:t>Amendment of Award; Repricing</w:t>
      </w:r>
      <w:r>
        <w:rPr>
          <w:rFonts w:ascii="Times New Roman" w:hAnsi="Times New Roman"/>
          <w:color w:val="000000"/>
          <w:sz w:val="22"/>
        </w:rPr>
        <w:t xml:space="preserve">.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permitted under Article IX or pursuant to Section 11.6. In addition, the Administrator shall, without the approval of the stockholders of the Company, have the authority to (i) amend any outstanding Option or Stock Appreciation Right to reduce its exercise price per Share or (ii) cancel any Option or Stock Appreciation Right in exchange for cash or another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10.7</w:t>
      </w:r>
    </w:p>
    <w:p>
      <w:pPr>
        <w:pStyle w:val="TextBody"/>
        <w:bidi w:val="0"/>
        <w:spacing w:before="0" w:after="240"/>
        <w:jc w:val="both"/>
        <w:rPr/>
      </w:pPr>
      <w:r>
        <w:rPr>
          <w:rFonts w:ascii="Times New Roman" w:hAnsi="Times New Roman"/>
          <w:color w:val="000000"/>
          <w:sz w:val="22"/>
          <w:u w:val="single"/>
        </w:rPr>
        <w:t>Conditions on Delivery of Stock</w:t>
      </w:r>
      <w:r>
        <w:rPr>
          <w:rFonts w:ascii="Times New Roman" w:hAnsi="Times New Roman"/>
          <w:color w:val="000000"/>
          <w:sz w:val="22"/>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without limitation, any applicable securities laws and stock exchange or stock market rules and regulations, (c) any approvals from governmental agencies that the Company determines are necessary or advisable have been obtained, and (d) the Participant has executed and delivered to the Company such representations or 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10.8</w:t>
      </w:r>
    </w:p>
    <w:p>
      <w:pPr>
        <w:pStyle w:val="TextBody"/>
        <w:bidi w:val="0"/>
        <w:spacing w:before="0" w:after="240"/>
        <w:jc w:val="both"/>
        <w:rPr/>
      </w:pPr>
      <w:r>
        <w:rPr>
          <w:rFonts w:ascii="Times New Roman" w:hAnsi="Times New Roman"/>
          <w:color w:val="000000"/>
          <w:sz w:val="22"/>
          <w:u w:val="single"/>
        </w:rPr>
        <w:t>Acceleration</w:t>
      </w:r>
      <w:r>
        <w:rPr>
          <w:rFonts w:ascii="Times New Roman" w:hAnsi="Times New Roman"/>
          <w:color w:val="000000"/>
          <w:sz w:val="22"/>
        </w:rPr>
        <w:t>. The Administrator may at any time provide that any Award will become immediately vested and fully or partially exercisable, free of some or all restrictions or conditions, or otherwise fully or partially realizable.</w:t>
      </w:r>
      <w:r>
        <w:rPr>
          <w:color w:val="000000"/>
          <w:u w:val="single"/>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w:t>
      </w:r>
    </w:p>
    <w:p>
      <w:pPr>
        <w:pStyle w:val="TextBody"/>
        <w:bidi w:val="0"/>
        <w:spacing w:before="0" w:after="240"/>
        <w:jc w:val="center"/>
        <w:rPr/>
      </w:pPr>
      <w:r>
        <w:rPr>
          <w:rFonts w:ascii="Times New Roman" w:hAnsi="Times New Roman"/>
          <w:b/>
          <w:caps/>
          <w:color w:val="000000"/>
          <w:sz w:val="22"/>
        </w:rPr>
        <w:br/>
        <w:t>Miscellaneous</w:t>
      </w:r>
      <w:r>
        <w:rPr>
          <w:caps/>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240"/>
        <w:jc w:val="both"/>
        <w:rPr/>
      </w:pPr>
      <w:r>
        <w:rPr>
          <w:rFonts w:ascii="Times New Roman" w:hAnsi="Times New Roman"/>
          <w:color w:val="000000"/>
          <w:sz w:val="22"/>
          <w:u w:val="single"/>
        </w:rPr>
        <w:t>No Right to Employment or Other Status</w:t>
      </w:r>
      <w:r>
        <w:rPr>
          <w:rFonts w:ascii="Times New Roman" w:hAnsi="Times New Roman"/>
          <w:color w:val="000000"/>
          <w:sz w:val="22"/>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240"/>
        <w:jc w:val="both"/>
        <w:rPr/>
      </w:pPr>
      <w:r>
        <w:rPr>
          <w:rFonts w:ascii="Times New Roman" w:hAnsi="Times New Roman"/>
          <w:color w:val="000000"/>
          <w:sz w:val="22"/>
          <w:u w:val="single"/>
        </w:rPr>
        <w:t>No Rights as Stockholder; Certificates</w:t>
      </w:r>
      <w:r>
        <w:rPr>
          <w:rFonts w:ascii="Times New Roman" w:hAnsi="Times New Roman"/>
          <w:color w:val="000000"/>
          <w:sz w:val="22"/>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240"/>
        <w:jc w:val="both"/>
        <w:rPr/>
      </w:pPr>
      <w:r>
        <w:rPr>
          <w:rFonts w:ascii="Times New Roman" w:hAnsi="Times New Roman"/>
          <w:color w:val="000000"/>
          <w:sz w:val="22"/>
          <w:u w:val="single"/>
        </w:rPr>
        <w:t>Effective Date</w:t>
      </w:r>
      <w:r>
        <w:rPr>
          <w:rFonts w:ascii="Times New Roman" w:hAnsi="Times New Roman"/>
          <w:color w:val="000000"/>
          <w:sz w:val="22"/>
        </w:rPr>
        <w:t>. The Plan will become effective on the date prior to the Public Trading Date (the “</w:t>
      </w:r>
      <w:r>
        <w:rPr>
          <w:rFonts w:ascii="Times New Roman" w:hAnsi="Times New Roman"/>
          <w:b/>
          <w:i/>
          <w:color w:val="000000"/>
          <w:sz w:val="22"/>
        </w:rPr>
        <w:t>Effective Date</w:t>
      </w:r>
      <w:r>
        <w:rPr>
          <w:color w:val="000000"/>
        </w:rPr>
        <w:t>”</w:t>
      </w:r>
      <w:r>
        <w:rPr>
          <w:rFonts w:ascii="Times New Roman" w:hAnsi="Times New Roman"/>
          <w:color w:val="000000"/>
          <w:sz w:val="22"/>
        </w:rPr>
        <w:t xml:space="preserve">), provided that it is approved by the Company’s stockholders prior to such date and occurring within 12 months following the date the Board approved the Plan. If the Plan is not approved by the Company’s stockholders within the foregoing time frame, the Plan will not become effective. No Incentive Stock Option may be granted pursuant to the Plan after the tenth anniversary of the earlier of (a)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the date the Plan was approved by the Board or (b) the date the Plan was approved by the Company’s stockholders.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240"/>
        <w:jc w:val="both"/>
        <w:rPr/>
      </w:pPr>
      <w:r>
        <w:rPr>
          <w:rFonts w:ascii="Times New Roman" w:hAnsi="Times New Roman"/>
          <w:color w:val="000000"/>
          <w:sz w:val="22"/>
          <w:u w:val="single"/>
        </w:rPr>
        <w:t>Amendment of Plan</w:t>
      </w:r>
      <w:r>
        <w:rPr>
          <w:rFonts w:ascii="Times New Roman" w:hAnsi="Times New Roman"/>
          <w:color w:val="000000"/>
          <w:sz w:val="22"/>
        </w:rPr>
        <w:t xml:space="preserve">. The Board may amend, suspend or terminate the Plan at any time and from time to time; provided that (a) no amendment requiring stockholder approval to comply with Applicable Law shall be effective unless approved by the stockholders,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each as in effect before such suspension or termination. The Board will obtain stockholder approval of any Plan amendment to the extent necessary to comply with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240"/>
        <w:jc w:val="both"/>
        <w:rPr/>
      </w:pPr>
      <w:r>
        <w:rPr>
          <w:rFonts w:ascii="Times New Roman" w:hAnsi="Times New Roman"/>
          <w:color w:val="000000"/>
          <w:sz w:val="22"/>
          <w:u w:val="single"/>
        </w:rPr>
        <w:t>Provisions for Foreign Participants</w:t>
      </w:r>
      <w:r>
        <w:rPr>
          <w:rFonts w:ascii="Times New Roman" w:hAnsi="Times New Roman"/>
          <w:color w:val="000000"/>
          <w:sz w:val="22"/>
        </w:rPr>
        <w:t>.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w:t>
      </w:r>
      <w:r>
        <w:rPr>
          <w:color w:val="000000"/>
          <w:u w:val="single"/>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 contrary provision in the Plan or any Award Agreement, any payment(s) of “nonqualified deferred compensation” required to be made under an Award to a “specified employee” (as defined under Section 409A and as the Administrator determines) due to such person’s “separation from service” will, to the extent necessary to avoid taxes under Section 409A(a)(2)(B)(i) of the Code, be delayed for the six-month period immediately following such “separation from service” (or, if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11.7</w:t>
      </w:r>
    </w:p>
    <w:p>
      <w:pPr>
        <w:pStyle w:val="TextBody"/>
        <w:bidi w:val="0"/>
        <w:spacing w:before="0" w:after="240"/>
        <w:jc w:val="both"/>
        <w:rPr/>
      </w:pPr>
      <w:r>
        <w:rPr>
          <w:rFonts w:ascii="Times New Roman" w:hAnsi="Times New Roman"/>
          <w:color w:val="000000"/>
          <w:sz w:val="22"/>
          <w:u w:val="single"/>
        </w:rPr>
        <w:t>Limitations on Liability</w:t>
      </w:r>
      <w:r>
        <w:rPr>
          <w:rFonts w:ascii="Times New Roman" w:hAnsi="Times New Roman"/>
          <w:color w:val="000000"/>
          <w:sz w:val="22"/>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such person’s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such person gives the Company an opportunity, at its own expense, to handle and defend the same before undertaking to handle and defend it on such person’s own behalf.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11.8</w:t>
      </w:r>
    </w:p>
    <w:p>
      <w:pPr>
        <w:pStyle w:val="TextBody"/>
        <w:bidi w:val="0"/>
        <w:spacing w:before="0" w:after="240"/>
        <w:jc w:val="both"/>
        <w:rPr/>
      </w:pPr>
      <w:r>
        <w:rPr>
          <w:rFonts w:ascii="Times New Roman" w:hAnsi="Times New Roman"/>
          <w:color w:val="000000"/>
          <w:sz w:val="22"/>
          <w:u w:val="single"/>
        </w:rPr>
        <w:t>Data Privacy</w:t>
      </w:r>
      <w:r>
        <w:rPr>
          <w:rFonts w:ascii="Times New Roman" w:hAnsi="Times New Roman"/>
          <w:color w:val="000000"/>
          <w:sz w:val="22"/>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color w:val="000000"/>
          <w:sz w:val="22"/>
        </w:rPr>
        <w:t>Data</w:t>
      </w:r>
      <w:r>
        <w:rPr>
          <w:color w:val="000000"/>
        </w:rPr>
        <w:t>”</w:t>
      </w:r>
      <w:r>
        <w:rPr>
          <w:rFonts w:ascii="Times New Roman" w:hAnsi="Times New Roman"/>
          <w:color w:val="000000"/>
          <w:sz w:val="22"/>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11.9</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11.10</w:t>
      </w:r>
    </w:p>
    <w:p>
      <w:pPr>
        <w:pStyle w:val="TextBody"/>
        <w:bidi w:val="0"/>
        <w:spacing w:before="0" w:after="240"/>
        <w:jc w:val="both"/>
        <w:rPr/>
      </w:pPr>
      <w:r>
        <w:rPr>
          <w:rFonts w:ascii="Times New Roman" w:hAnsi="Times New Roman"/>
          <w:color w:val="000000"/>
          <w:sz w:val="22"/>
          <w:u w:val="single"/>
        </w:rPr>
        <w:t>Governing Documents</w:t>
      </w:r>
      <w:r>
        <w:rPr>
          <w:rFonts w:ascii="Times New Roman" w:hAnsi="Times New Roman"/>
          <w:color w:val="000000"/>
          <w:sz w:val="22"/>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11.11</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11.12</w:t>
      </w:r>
    </w:p>
    <w:p>
      <w:pPr>
        <w:pStyle w:val="TextBody"/>
        <w:bidi w:val="0"/>
        <w:spacing w:before="0" w:after="240"/>
        <w:jc w:val="both"/>
        <w:rPr/>
      </w:pPr>
      <w:r>
        <w:rPr>
          <w:rFonts w:ascii="Times New Roman" w:hAnsi="Times New Roman"/>
          <w:color w:val="000000"/>
          <w:sz w:val="22"/>
          <w:u w:val="single"/>
        </w:rPr>
        <w:t>Clawback Provisions</w:t>
      </w:r>
      <w:r>
        <w:rPr>
          <w:rFonts w:ascii="Times New Roman" w:hAnsi="Times New Roman"/>
          <w:color w:val="000000"/>
          <w:sz w:val="22"/>
        </w:rPr>
        <w:t xml:space="preserve">. The Administrator may, in its discretion, specify in an Award Agreement or a policy that will be deemed incorporated into an Award Agreement by reference (regardless of whether such policy is established before or after the date of such Award Agreement), that a Participant’s rights, payments, and benefits with respect to an Award shall be subject to reduction, cancellation, forfeiture, rescission or recoupment upon the occurrence of certain specified events, in addition to any otherwise applicable vesting, restrictions or performance conditions of an Award. Such events may include, but shall not be limited to, Termination of Service with or without cause, breach of noncompetition, confidentiality, or other restrictive covenants that may apply to the Participant, or restatement of the Company’s financial statements to reflect adverse results from those previously released financial statements, as a consequence of errors, omissions, fraud, or misconduct. Without limiting the foregoing, all Awards (including, without limitation, any proceeds, gains or other economic benefit actually or constructively received by a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 (including the U.S. Dodd-Frank Wall Street Reform and Consumer Protection Act and any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2"/>
        </w:rPr>
        <w:t>rules or regulations promulgated thereunder) as and to the extent set forth in such clawback policy or the Award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11.13</w:t>
      </w:r>
    </w:p>
    <w:p>
      <w:pPr>
        <w:pStyle w:val="TextBody"/>
        <w:bidi w:val="0"/>
        <w:spacing w:before="0" w:after="240"/>
        <w:jc w:val="both"/>
        <w:rPr/>
      </w:pPr>
      <w:r>
        <w:rPr>
          <w:rFonts w:ascii="Times New Roman" w:hAnsi="Times New Roman"/>
          <w:color w:val="000000"/>
          <w:sz w:val="22"/>
          <w:u w:val="single"/>
        </w:rPr>
        <w:t>Titles and Headings</w:t>
      </w:r>
      <w:r>
        <w:rPr>
          <w:rFonts w:ascii="Times New Roman" w:hAnsi="Times New Roman"/>
          <w:color w:val="000000"/>
          <w:sz w:val="22"/>
        </w:rPr>
        <w:t>. The titles and headings in the Plan are for convenience of reference only and, if any conflict, the Plan’s text, rather than such titles or headings, will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11.14</w:t>
      </w:r>
    </w:p>
    <w:p>
      <w:pPr>
        <w:pStyle w:val="TextBody"/>
        <w:bidi w:val="0"/>
        <w:spacing w:before="0" w:after="240"/>
        <w:jc w:val="both"/>
        <w:rPr/>
      </w:pPr>
      <w:r>
        <w:rPr>
          <w:rFonts w:ascii="Times New Roman" w:hAnsi="Times New Roman"/>
          <w:color w:val="000000"/>
          <w:sz w:val="22"/>
          <w:u w:val="single"/>
        </w:rPr>
        <w:t>Conformity to Applicable Law</w:t>
      </w:r>
      <w:r>
        <w:rPr>
          <w:rFonts w:ascii="Times New Roman" w:hAnsi="Times New Roman"/>
          <w:color w:val="000000"/>
          <w:sz w:val="22"/>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11.15</w:t>
      </w:r>
    </w:p>
    <w:p>
      <w:pPr>
        <w:pStyle w:val="TextBody"/>
        <w:bidi w:val="0"/>
        <w:spacing w:before="0" w:after="240"/>
        <w:jc w:val="both"/>
        <w:rPr/>
      </w:pPr>
      <w:r>
        <w:rPr>
          <w:rFonts w:ascii="Times New Roman" w:hAnsi="Times New Roman"/>
          <w:color w:val="000000"/>
          <w:sz w:val="22"/>
          <w:u w:val="single"/>
        </w:rPr>
        <w:t>Relationship to Other Benefits</w:t>
      </w:r>
      <w:r>
        <w:rPr>
          <w:rFonts w:ascii="Times New Roman" w:hAnsi="Times New Roman"/>
          <w:color w:val="000000"/>
          <w:sz w:val="22"/>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11.16</w:t>
      </w:r>
    </w:p>
    <w:p>
      <w:pPr>
        <w:pStyle w:val="TextBody"/>
        <w:bidi w:val="0"/>
        <w:spacing w:before="0" w:after="240"/>
        <w:jc w:val="both"/>
        <w:rPr/>
      </w:pPr>
      <w:r>
        <w:rPr>
          <w:rFonts w:ascii="Times New Roman" w:hAnsi="Times New Roman"/>
          <w:color w:val="000000"/>
          <w:sz w:val="22"/>
          <w:u w:val="single"/>
        </w:rPr>
        <w:t>Unfunded Status of Awards</w:t>
      </w:r>
      <w:r>
        <w:rPr>
          <w:rFonts w:ascii="Times New Roman" w:hAnsi="Times New Roman"/>
          <w:color w:val="000000"/>
          <w:sz w:val="22"/>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11.17</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11.18</w:t>
      </w:r>
    </w:p>
    <w:p>
      <w:pPr>
        <w:pStyle w:val="TextBody"/>
        <w:bidi w:val="0"/>
        <w:spacing w:before="0" w:after="240"/>
        <w:jc w:val="both"/>
        <w:rPr/>
      </w:pPr>
      <w:r>
        <w:rPr>
          <w:rFonts w:ascii="Times New Roman" w:hAnsi="Times New Roman"/>
          <w:color w:val="000000"/>
          <w:sz w:val="22"/>
          <w:u w:val="single"/>
        </w:rPr>
        <w:t>Prohibition on Executive Officer and Director Loans</w:t>
      </w:r>
      <w:r>
        <w:rPr>
          <w:rFonts w:ascii="Times New Roman" w:hAnsi="Times New Roman"/>
          <w:color w:val="000000"/>
          <w:sz w:val="22"/>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11.19</w:t>
      </w:r>
    </w:p>
    <w:p>
      <w:pPr>
        <w:pStyle w:val="TextBody"/>
        <w:bidi w:val="0"/>
        <w:spacing w:before="0" w:after="240"/>
        <w:jc w:val="both"/>
        <w:rPr/>
      </w:pPr>
      <w:r>
        <w:rPr>
          <w:rFonts w:ascii="Times New Roman" w:hAnsi="Times New Roman"/>
          <w:color w:val="000000"/>
          <w:sz w:val="22"/>
          <w:u w:val="single"/>
        </w:rPr>
        <w:t>Broker-Assisted Sales</w:t>
      </w:r>
      <w:r>
        <w:rPr>
          <w:rFonts w:ascii="Times New Roman" w:hAnsi="Times New Roman"/>
          <w:color w:val="000000"/>
          <w:sz w:val="22"/>
        </w:rPr>
        <w:t xml:space="preserve">.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or its designee an amount in cash sufficient to satisfy any remaining portion of the Participant’s obligation.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 * * *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2"/>
        </w:rPr>
        <w:t>SERVICETITAN</w:t>
      </w:r>
      <w:r>
        <w:rPr>
          <w:rFonts w:ascii="Times New Roman" w:hAnsi="Times New Roman"/>
          <w:b/>
          <w:color w:val="000000"/>
          <w:sz w:val="22"/>
        </w:rPr>
        <w:t>, INC.</w:t>
      </w:r>
      <w:r>
        <w:rPr>
          <w:rFonts w:ascii="Times New Roman" w:hAnsi="Times New Roman"/>
          <w:b/>
          <w:caps/>
          <w:color w:val="000000"/>
          <w:sz w:val="22"/>
        </w:rPr>
        <w:br/>
      </w:r>
      <w:r>
        <w:rPr>
          <w:rFonts w:ascii="Times New Roman" w:hAnsi="Times New Roman"/>
          <w:b/>
          <w:smallCaps/>
          <w:color w:val="000000"/>
          <w:sz w:val="22"/>
        </w:rPr>
        <w:t>2024 INCENTIVE AWARD PLAN</w:t>
        <w:br/>
        <w:t>STOCK OPTION GRANT NOTICE</w:t>
      </w:r>
    </w:p>
    <w:p>
      <w:pPr>
        <w:pStyle w:val="TextBody"/>
        <w:bidi w:val="0"/>
        <w:spacing w:before="0" w:after="240"/>
        <w:jc w:val="both"/>
        <w:rPr>
          <w:rFonts w:ascii="Times New Roman" w:hAnsi="Times New Roman"/>
          <w:sz w:val="20"/>
        </w:rPr>
      </w:pPr>
      <w:r>
        <w:rPr>
          <w:rFonts w:ascii="Times New Roman" w:hAnsi="Times New Roman"/>
          <w:color w:val="000000"/>
          <w:sz w:val="22"/>
        </w:rPr>
        <w:t>ServiceTitan,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its 2024 Incentive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hereby grants to the holder listed below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an option to purchase the number of shares of the Company’s Common Stock (the “</w:t>
      </w:r>
      <w:r>
        <w:rPr>
          <w:rFonts w:ascii="Times New Roman" w:hAnsi="Times New Roman"/>
          <w:b/>
          <w:i/>
          <w:color w:val="000000"/>
          <w:sz w:val="22"/>
        </w:rPr>
        <w:t>Shares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b/>
          <w:i/>
          <w:color w:val="000000"/>
          <w:sz w:val="22"/>
        </w:rPr>
        <w:t>Option</w:t>
      </w:r>
      <w:r>
        <w:rPr>
          <w:rFonts w:ascii="Times New Roman" w:hAnsi="Times New Roman"/>
          <w:color w:val="000000"/>
          <w:sz w:val="20"/>
        </w:rPr>
        <w:t>”</w:t>
      </w:r>
      <w:r>
        <w:rPr>
          <w:rFonts w:ascii="Times New Roman" w:hAnsi="Times New Roman"/>
          <w:color w:val="000000"/>
          <w:sz w:val="22"/>
        </w:rPr>
        <w:t xml:space="preserve">). This Option is subject to all of the terms and conditions set forth herein, as well as in the Plan and the Stock Option Agreement attached hereto as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Stock Option Agreement</w:t>
      </w:r>
      <w:r>
        <w:rPr>
          <w:rFonts w:ascii="Times New Roman" w:hAnsi="Times New Roman"/>
          <w:color w:val="000000"/>
          <w:sz w:val="20"/>
        </w:rPr>
        <w:t>”</w:t>
      </w:r>
      <w:r>
        <w:rPr>
          <w:rFonts w:ascii="Times New Roman" w:hAnsi="Times New Roman"/>
          <w:color w:val="000000"/>
          <w:sz w:val="22"/>
        </w:rPr>
        <w:t>), each of which are incorporated herein by reference. Unless otherwise defined herein, the terms defined in the Plan shall have the same defined meanings in this Stock Option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and the Stock Option Agreement.</w:t>
      </w:r>
      <w:r>
        <w:rPr>
          <w:rFonts w:ascii="Times New Roman" w:hAnsi="Times New Roman"/>
          <w:color w:val="000000"/>
          <w:sz w:val="20"/>
        </w:rPr>
        <w:t xml:space="preserve"> </w:t>
      </w:r>
    </w:p>
    <w:tbl>
      <w:tblPr>
        <w:tblW w:w="6496" w:type="dxa"/>
        <w:jc w:val="left"/>
        <w:tblInd w:w="0" w:type="dxa"/>
        <w:tblLayout w:type="fixed"/>
        <w:tblCellMar>
          <w:top w:w="28" w:type="dxa"/>
          <w:left w:w="28" w:type="dxa"/>
          <w:bottom w:w="28" w:type="dxa"/>
          <w:right w:w="28" w:type="dxa"/>
        </w:tblCellMar>
      </w:tblPr>
      <w:tblGrid>
        <w:gridCol w:w="4688"/>
        <w:gridCol w:w="1808"/>
      </w:tblGrid>
      <w:tr>
        <w:trPr/>
        <w:tc>
          <w:tcPr>
            <w:tcW w:w="46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ind w:left="0" w:right="0" w:firstLine="7"/>
              <w:jc w:val="left"/>
              <w:rPr>
                <w:sz w:val="4"/>
                <w:szCs w:val="4"/>
              </w:rPr>
            </w:pPr>
            <w:r>
              <w:rPr>
                <w:sz w:val="4"/>
                <w:szCs w:val="4"/>
              </w:rPr>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both"/>
              <w:rPr>
                <w:rFonts w:ascii="Times New Roman" w:hAnsi="Times New Roman"/>
                <w:b/>
                <w:color w:val="000000"/>
                <w:sz w:val="22"/>
              </w:rPr>
            </w:pPr>
            <w:r>
              <w:rPr>
                <w:rFonts w:ascii="Times New Roman" w:hAnsi="Times New Roman"/>
                <w:b/>
                <w:color w:val="000000"/>
                <w:sz w:val="22"/>
              </w:rPr>
              <w:t>Participant:</w:t>
            </w:r>
          </w:p>
        </w:tc>
        <w:tc>
          <w:tcPr>
            <w:tcW w:w="18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b/>
                <w:color w:val="000000"/>
                <w:sz w:val="22"/>
              </w:rPr>
            </w:pPr>
            <w:r>
              <w:rPr>
                <w:rFonts w:ascii="Times New Roman" w:hAnsi="Times New Roman"/>
                <w:b/>
                <w:color w:val="000000"/>
                <w:sz w:val="22"/>
              </w:rPr>
              <w:t>Grant Date:</w:t>
            </w:r>
          </w:p>
        </w:tc>
        <w:tc>
          <w:tcPr>
            <w:tcW w:w="18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b/>
                <w:color w:val="000000"/>
                <w:sz w:val="22"/>
              </w:rPr>
            </w:pPr>
            <w:r>
              <w:rPr>
                <w:rFonts w:ascii="Times New Roman" w:hAnsi="Times New Roman"/>
                <w:b/>
                <w:color w:val="000000"/>
                <w:sz w:val="22"/>
              </w:rPr>
              <w:t>Vesting Commencement Date:</w:t>
            </w:r>
          </w:p>
        </w:tc>
        <w:tc>
          <w:tcPr>
            <w:tcW w:w="18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b/>
                <w:color w:val="000000"/>
                <w:sz w:val="22"/>
              </w:rPr>
            </w:pPr>
            <w:r>
              <w:rPr>
                <w:rFonts w:ascii="Times New Roman" w:hAnsi="Times New Roman"/>
                <w:b/>
                <w:color w:val="000000"/>
                <w:sz w:val="22"/>
              </w:rPr>
              <w:t>Exercise Price per Share:</w:t>
            </w:r>
          </w:p>
        </w:tc>
        <w:tc>
          <w:tcPr>
            <w:tcW w:w="18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$[___________]</w:t>
            </w:r>
          </w:p>
        </w:tc>
      </w:tr>
      <w:tr>
        <w:trPr/>
        <w:tc>
          <w:tcPr>
            <w:tcW w:w="4688"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b/>
                <w:color w:val="000000"/>
                <w:sz w:val="22"/>
              </w:rPr>
            </w:pPr>
            <w:r>
              <w:rPr>
                <w:rFonts w:ascii="Times New Roman" w:hAnsi="Times New Roman"/>
                <w:b/>
                <w:color w:val="000000"/>
                <w:sz w:val="22"/>
              </w:rPr>
              <w:t>Total Exercise Price:</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both"/>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both"/>
              <w:rPr>
                <w:rFonts w:ascii="Times New Roman" w:hAnsi="Times New Roman"/>
                <w:b/>
                <w:color w:val="000000"/>
                <w:sz w:val="22"/>
              </w:rPr>
            </w:pPr>
            <w:r>
              <w:rPr>
                <w:rFonts w:ascii="Times New Roman" w:hAnsi="Times New Roman"/>
                <w:b/>
                <w:color w:val="000000"/>
                <w:sz w:val="22"/>
              </w:rPr>
              <w:t>Total Number of Shares Subject to the Option:</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both"/>
              <w:rPr>
                <w:rFonts w:ascii="Times New Roman" w:hAnsi="Times New Roman"/>
                <w:color w:val="000000"/>
                <w:sz w:val="22"/>
              </w:rPr>
            </w:pPr>
            <w:r>
              <w:rPr>
                <w:rFonts w:ascii="Times New Roman" w:hAnsi="Times New Roman"/>
                <w:color w:val="000000"/>
                <w:sz w:val="22"/>
              </w:rPr>
              <w:t xml:space="preserve">[____________] </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both"/>
              <w:rPr>
                <w:rFonts w:ascii="Times New Roman" w:hAnsi="Times New Roman"/>
                <w:b/>
                <w:color w:val="000000"/>
                <w:sz w:val="22"/>
              </w:rPr>
            </w:pPr>
            <w:r>
              <w:rPr>
                <w:rFonts w:ascii="Times New Roman" w:hAnsi="Times New Roman"/>
                <w:b/>
                <w:color w:val="000000"/>
                <w:sz w:val="22"/>
              </w:rPr>
              <w:t>Expiration Date:</w:t>
            </w:r>
          </w:p>
        </w:tc>
        <w:tc>
          <w:tcPr>
            <w:tcW w:w="1808" w:type="dxa"/>
            <w:tcBorders/>
            <w:tcMar>
              <w:top w:w="0" w:type="dxa"/>
              <w:left w:w="0" w:type="dxa"/>
              <w:bottom w:w="0" w:type="dxa"/>
              <w:right w:w="0" w:type="dxa"/>
            </w:tcMar>
            <w:vAlign w:val="center"/>
          </w:tcPr>
          <w:p>
            <w:pPr>
              <w:pStyle w:val="TableContents"/>
              <w:bidi w:val="0"/>
              <w:spacing w:before="0" w:after="283"/>
              <w:ind w:left="0" w:right="0" w:firstLine="7"/>
              <w:jc w:val="both"/>
              <w:rPr>
                <w:rFonts w:ascii="Times New Roman" w:hAnsi="Times New Roman"/>
                <w:color w:val="000000"/>
                <w:sz w:val="22"/>
              </w:rPr>
            </w:pPr>
            <w:r>
              <w:rPr>
                <w:rFonts w:ascii="Times New Roman" w:hAnsi="Times New Roman"/>
                <w:color w:val="000000"/>
                <w:sz w:val="22"/>
              </w:rPr>
              <w:t>[____________]</w:t>
            </w:r>
          </w:p>
        </w:tc>
      </w:tr>
      <w:tr>
        <w:trPr/>
        <w:tc>
          <w:tcPr>
            <w:tcW w:w="4688" w:type="dxa"/>
            <w:tcBorders/>
            <w:tcMar>
              <w:top w:w="0" w:type="dxa"/>
              <w:left w:w="0" w:type="dxa"/>
              <w:bottom w:w="0" w:type="dxa"/>
              <w:right w:w="0" w:type="dxa"/>
            </w:tcMar>
            <w:vAlign w:val="center"/>
          </w:tcPr>
          <w:p>
            <w:pPr>
              <w:pStyle w:val="TableContents"/>
              <w:bidi w:val="0"/>
              <w:spacing w:before="60" w:after="60"/>
              <w:ind w:left="0" w:right="0" w:firstLine="7"/>
              <w:jc w:val="both"/>
              <w:rPr>
                <w:rFonts w:ascii="Times New Roman" w:hAnsi="Times New Roman"/>
                <w:b/>
                <w:color w:val="000000"/>
                <w:sz w:val="22"/>
              </w:rPr>
            </w:pPr>
            <w:r>
              <w:rPr>
                <w:rFonts w:ascii="Times New Roman" w:hAnsi="Times New Roman"/>
                <w:b/>
                <w:color w:val="000000"/>
                <w:sz w:val="22"/>
              </w:rPr>
              <w:t>Vesting Schedule:</w:t>
            </w:r>
          </w:p>
        </w:tc>
        <w:tc>
          <w:tcPr>
            <w:tcW w:w="180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[____________]</w:t>
            </w:r>
          </w:p>
        </w:tc>
      </w:tr>
    </w:tbl>
    <w:p>
      <w:pPr>
        <w:pStyle w:val="TextBody"/>
        <w:bidi w:val="0"/>
        <w:spacing w:before="240" w:after="283"/>
        <w:jc w:val="both"/>
        <w:rPr>
          <w:rFonts w:ascii="Times New Roman" w:hAnsi="Times New Roman"/>
          <w:sz w:val="20"/>
        </w:rPr>
      </w:pPr>
      <w:r>
        <w:rPr>
          <w:rFonts w:ascii="Times New Roman" w:hAnsi="Times New Roman"/>
          <w:b/>
          <w:color w:val="000000"/>
          <w:sz w:val="22"/>
        </w:rPr>
        <w:t xml:space="preserve">Type of Option: </w:t>
      </w:r>
      <w:r>
        <w:rPr>
          <w:rFonts w:ascii="Times New Roman" w:hAnsi="Times New Roman"/>
          <w:color w:val="000000"/>
          <w:sz w:val="20"/>
        </w:rPr>
        <w:t xml:space="preserve"> </w:t>
      </w:r>
      <w:r>
        <w:rPr>
          <w:rFonts w:ascii="Times New Roman" w:hAnsi="Times New Roman"/>
          <w:color w:val="000000"/>
          <w:sz w:val="22"/>
        </w:rPr>
        <w:t xml:space="preserve">Incentive Stock Option </w:t>
      </w:r>
      <w:r>
        <w:rPr>
          <w:rFonts w:ascii="Times New Roman" w:hAnsi="Times New Roman"/>
          <w:color w:val="000000"/>
          <w:sz w:val="20"/>
        </w:rPr>
        <w:t xml:space="preserve"> </w:t>
      </w:r>
      <w:r>
        <w:rPr>
          <w:rFonts w:ascii="Times New Roman" w:hAnsi="Times New Roman"/>
          <w:color w:val="000000"/>
          <w:sz w:val="22"/>
        </w:rPr>
        <w:t>Nonqualified Stock Option</w:t>
      </w:r>
    </w:p>
    <w:p>
      <w:pPr>
        <w:pStyle w:val="TextBody"/>
        <w:bidi w:val="0"/>
        <w:spacing w:before="240" w:after="240"/>
        <w:jc w:val="both"/>
        <w:rPr>
          <w:rFonts w:ascii="Times New Roman" w:hAnsi="Times New Roman"/>
          <w:color w:val="000000"/>
          <w:sz w:val="22"/>
        </w:rPr>
      </w:pPr>
      <w:r>
        <w:rPr>
          <w:rFonts w:ascii="Times New Roman" w:hAnsi="Times New Roman"/>
          <w:color w:val="000000"/>
          <w:sz w:val="22"/>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Option in such electronic capitalization table system and Participant’s signature below shall be deemed to have occurred by Participant’s online acceptance of the Option through such electronic capitalization table system.</w:t>
      </w:r>
    </w:p>
    <w:p>
      <w:pPr>
        <w:pStyle w:val="TextBody"/>
        <w:bidi w:val="0"/>
        <w:spacing w:before="0" w:after="240"/>
        <w:jc w:val="both"/>
        <w:rPr>
          <w:rFonts w:ascii="Times New Roman" w:hAnsi="Times New Roman"/>
          <w:sz w:val="20"/>
        </w:rPr>
      </w:pPr>
      <w:r>
        <w:rPr>
          <w:rFonts w:ascii="Times New Roman" w:hAnsi="Times New Roman"/>
          <w:color w:val="000000"/>
          <w:sz w:val="22"/>
        </w:rPr>
        <w:t>By Participant’s acceptance of the Option through the online acceptance procedure established by the Company or by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w:t>
      </w:r>
      <w:r>
        <w:rPr>
          <w:rFonts w:ascii="Times New Roman" w:hAnsi="Times New Roman"/>
          <w:color w:val="000000"/>
          <w:sz w:val="20"/>
        </w:rPr>
        <w:t xml:space="preserve"> </w:t>
      </w:r>
    </w:p>
    <w:tbl>
      <w:tblPr>
        <w:tblW w:w="5280" w:type="dxa"/>
        <w:jc w:val="left"/>
        <w:tblInd w:w="0" w:type="dxa"/>
        <w:tblLayout w:type="fixed"/>
        <w:tblCellMar>
          <w:top w:w="28" w:type="dxa"/>
          <w:left w:w="28" w:type="dxa"/>
          <w:bottom w:w="28" w:type="dxa"/>
          <w:right w:w="28" w:type="dxa"/>
        </w:tblCellMar>
      </w:tblPr>
      <w:tblGrid>
        <w:gridCol w:w="2987"/>
        <w:gridCol w:w="493"/>
        <w:gridCol w:w="1476"/>
        <w:gridCol w:w="324"/>
      </w:tblGrid>
      <w:tr>
        <w:trPr/>
        <w:tc>
          <w:tcPr>
            <w:tcW w:w="29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80" w:type="dxa"/>
            <w:gridSpan w:val="2"/>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2"/>
              </w:rPr>
            </w:pPr>
            <w:r>
              <w:rPr>
                <w:rFonts w:ascii="Times New Roman" w:hAnsi="Times New Roman"/>
                <w:b/>
                <w:caps/>
                <w:color w:val="000000"/>
                <w:sz w:val="22"/>
              </w:rPr>
              <w:t>SERVICETITAN, INC.:</w:t>
            </w:r>
            <w:r>
              <w:rPr>
                <w:rFonts w:ascii="Times New Roman" w:hAnsi="Times New Roman"/>
                <w:smallCaps/>
                <w:color w:val="000000"/>
                <w:sz w:val="22"/>
              </w:rPr>
              <w:t> </w:t>
            </w:r>
            <w:r>
              <w:rPr>
                <w:rFonts w:ascii="Times New Roman" w:hAnsi="Times New Roman"/>
                <w:b/>
                <w:smallCaps/>
                <w:color w:val="000000"/>
                <w:sz w:val="22"/>
              </w:rPr>
              <w:t>Holder:</w:t>
            </w:r>
          </w:p>
        </w:tc>
        <w:tc>
          <w:tcPr>
            <w:tcW w:w="180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PARTICIPANT:</w:t>
            </w:r>
          </w:p>
        </w:tc>
      </w:tr>
      <w:tr>
        <w:trPr/>
        <w:tc>
          <w:tcPr>
            <w:tcW w:w="29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493" w:type="dxa"/>
            <w:tcBorders/>
            <w:tcMar>
              <w:top w:w="0" w:type="dxa"/>
              <w:left w:w="0" w:type="dxa"/>
              <w:bottom w:w="0" w:type="dxa"/>
              <w:right w:w="0" w:type="dxa"/>
            </w:tcMar>
            <w:vAlign w:val="center"/>
          </w:tcPr>
          <w:p>
            <w:pPr>
              <w:pStyle w:val="TableContents"/>
              <w:bidi w:val="0"/>
              <w:spacing w:before="0" w:after="283"/>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By:</w:t>
            </w:r>
          </w:p>
        </w:tc>
        <w:tc>
          <w:tcPr>
            <w:tcW w:w="3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9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Print Name: </w:t>
            </w:r>
          </w:p>
        </w:tc>
        <w:tc>
          <w:tcPr>
            <w:tcW w:w="493" w:type="dxa"/>
            <w:tcBorders/>
            <w:tcMar>
              <w:top w:w="0" w:type="dxa"/>
              <w:left w:w="0" w:type="dxa"/>
              <w:bottom w:w="0" w:type="dxa"/>
              <w:right w:w="0" w:type="dxa"/>
            </w:tcMar>
            <w:vAlign w:val="center"/>
          </w:tcPr>
          <w:p>
            <w:pPr>
              <w:pStyle w:val="TableContents"/>
              <w:bidi w:val="0"/>
              <w:spacing w:before="0" w:after="283"/>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Print Name: </w:t>
            </w:r>
          </w:p>
        </w:tc>
        <w:tc>
          <w:tcPr>
            <w:tcW w:w="3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9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w:t>
            </w:r>
          </w:p>
        </w:tc>
        <w:tc>
          <w:tcPr>
            <w:tcW w:w="493" w:type="dxa"/>
            <w:tcBorders/>
            <w:tcMar>
              <w:top w:w="0" w:type="dxa"/>
              <w:left w:w="0" w:type="dxa"/>
              <w:bottom w:w="0" w:type="dxa"/>
              <w:right w:w="0" w:type="dxa"/>
            </w:tcMar>
            <w:vAlign w:val="center"/>
          </w:tcPr>
          <w:p>
            <w:pPr>
              <w:pStyle w:val="TableContents"/>
              <w:bidi w:val="0"/>
              <w:spacing w:before="0" w:after="283"/>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9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Address: </w:t>
            </w:r>
          </w:p>
        </w:tc>
        <w:tc>
          <w:tcPr>
            <w:tcW w:w="493" w:type="dxa"/>
            <w:tcBorders/>
            <w:tcMar>
              <w:top w:w="0" w:type="dxa"/>
              <w:left w:w="0" w:type="dxa"/>
              <w:bottom w:w="0" w:type="dxa"/>
              <w:right w:w="0" w:type="dxa"/>
            </w:tcMar>
            <w:vAlign w:val="center"/>
          </w:tcPr>
          <w:p>
            <w:pPr>
              <w:pStyle w:val="TableContents"/>
              <w:bidi w:val="0"/>
              <w:spacing w:before="0" w:after="283"/>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Address: </w:t>
            </w:r>
          </w:p>
        </w:tc>
        <w:tc>
          <w:tcPr>
            <w:tcW w:w="32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sz w:val="20"/>
        </w:rPr>
      </w:pPr>
      <w:r>
        <w:rPr>
          <w:rFonts w:ascii="Times New Roman" w:hAnsi="Times New Roman"/>
          <w:b/>
          <w:smallCaps/>
          <w:color w:val="000000"/>
          <w:sz w:val="22"/>
        </w:rPr>
        <w:t>TO STOCK OPTION GRANT NOTICE</w:t>
        <w:br/>
        <w:br/>
      </w:r>
      <w:r>
        <w:rPr>
          <w:rFonts w:ascii="Times New Roman" w:hAnsi="Times New Roman"/>
          <w:b/>
          <w:color w:val="000000"/>
          <w:sz w:val="22"/>
        </w:rPr>
        <w:t>STOCK</w:t>
      </w:r>
      <w:r>
        <w:rPr>
          <w:rFonts w:ascii="Times New Roman" w:hAnsi="Times New Roman"/>
          <w:smallCaps/>
          <w:color w:val="000000"/>
          <w:sz w:val="20"/>
        </w:rPr>
        <w:t xml:space="preserve"> </w:t>
      </w:r>
      <w:r>
        <w:rPr>
          <w:rFonts w:ascii="Times New Roman" w:hAnsi="Times New Roman"/>
          <w:b/>
          <w:smallCaps/>
          <w:color w:val="000000"/>
          <w:sz w:val="22"/>
        </w:rPr>
        <w:t>OPTION AGREEMENT</w:t>
      </w:r>
    </w:p>
    <w:p>
      <w:pPr>
        <w:pStyle w:val="TextBody"/>
        <w:bidi w:val="0"/>
        <w:spacing w:before="0" w:after="240"/>
        <w:jc w:val="both"/>
        <w:rPr>
          <w:rFonts w:ascii="Times New Roman" w:hAnsi="Times New Roman"/>
          <w:sz w:val="20"/>
        </w:rPr>
      </w:pPr>
      <w:r>
        <w:rPr>
          <w:rFonts w:ascii="Times New Roman" w:hAnsi="Times New Roman"/>
          <w:color w:val="000000"/>
          <w:sz w:val="22"/>
        </w:rPr>
        <w:t>Pursuant to the Stock Option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to which this Stock Option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attached, ServiceTitan,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to Participant an Option under the Company’s 2024 Incentive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to purchase the number of Shares indicated in the Grant Notice.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GENERAL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XI.1</w:t>
      </w:r>
    </w:p>
    <w:p>
      <w:pPr>
        <w:pStyle w:val="TextBody"/>
        <w:bidi w:val="0"/>
        <w:spacing w:before="0" w:after="240"/>
        <w:jc w:val="both"/>
        <w:rPr/>
      </w:pPr>
      <w:r>
        <w:rPr>
          <w:rFonts w:ascii="Times New Roman" w:hAnsi="Times New Roman"/>
          <w:color w:val="000000"/>
          <w:sz w:val="22"/>
          <w:u w:val="single"/>
        </w:rPr>
        <w:t>Defined Terms.</w:t>
      </w:r>
      <w:r>
        <w:rPr>
          <w:color w:val="000000"/>
        </w:rPr>
        <w:t xml:space="preserve"> </w:t>
      </w:r>
      <w:r>
        <w:rPr>
          <w:rFonts w:ascii="Times New Roman" w:hAnsi="Times New Roman"/>
          <w:color w:val="000000"/>
          <w:sz w:val="22"/>
        </w:rPr>
        <w:t>Capitalized terms not specifically defined herein shall have the meanings specified in the Plan and the Grant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XI.2</w:t>
      </w:r>
    </w:p>
    <w:p>
      <w:pPr>
        <w:pStyle w:val="TextBody"/>
        <w:bidi w:val="0"/>
        <w:spacing w:before="0" w:after="240"/>
        <w:jc w:val="both"/>
        <w:rPr/>
      </w:pPr>
      <w:r>
        <w:rPr>
          <w:rFonts w:ascii="Times New Roman" w:hAnsi="Times New Roman"/>
          <w:color w:val="000000"/>
          <w:sz w:val="22"/>
          <w:u w:val="single"/>
        </w:rPr>
        <w:t>Incorporation of Terms of Plan.</w:t>
      </w:r>
      <w:r>
        <w:rPr>
          <w:color w:val="000000"/>
        </w:rPr>
        <w:t xml:space="preserve"> </w:t>
      </w:r>
      <w:r>
        <w:rPr>
          <w:rFonts w:ascii="Times New Roman" w:hAnsi="Times New Roman"/>
          <w:color w:val="000000"/>
          <w:sz w:val="22"/>
        </w:rPr>
        <w:t>The Option is subject to the terms and conditions of the Plan which are incorporated herein by reference. In the event of any inconsistency between the Plan and this Agreement, the terms of the Plan shall control.</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GRANT OF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Grant of Option.</w:t>
      </w:r>
      <w:r>
        <w:rPr>
          <w:color w:val="000000"/>
        </w:rPr>
        <w:t xml:space="preserve"> </w:t>
      </w:r>
      <w:r>
        <w:rPr>
          <w:rFonts w:ascii="Times New Roman" w:hAnsi="Times New Roman"/>
          <w:color w:val="000000"/>
          <w:sz w:val="22"/>
        </w:rPr>
        <w:t xml:space="preserve">In </w:t>
      </w:r>
      <w:bookmarkStart w:id="41" w:name="ole_link5"/>
      <w:bookmarkEnd w:id="41"/>
      <w:r>
        <w:rPr>
          <w:rFonts w:ascii="Times New Roman" w:hAnsi="Times New Roman"/>
          <w:color w:val="000000"/>
          <w:sz w:val="22"/>
        </w:rPr>
        <w:t>consideration of Participant’s past and/or continued employment with or service to the Company or any Subsidiary and for other good and valuable consideration, effective as of the Grant Date set forth in the Grant Notice (the “</w:t>
      </w:r>
      <w:r>
        <w:rPr>
          <w:rFonts w:ascii="Times New Roman" w:hAnsi="Times New Roman"/>
          <w:b/>
          <w:i/>
          <w:color w:val="000000"/>
          <w:sz w:val="22"/>
        </w:rPr>
        <w:t>Grant Date</w:t>
      </w:r>
      <w:r>
        <w:rPr>
          <w:color w:val="000000"/>
        </w:rPr>
        <w:t>”</w:t>
      </w:r>
      <w:r>
        <w:rPr>
          <w:rFonts w:ascii="Times New Roman" w:hAnsi="Times New Roman"/>
          <w:color w:val="000000"/>
          <w:sz w:val="22"/>
        </w:rPr>
        <w:t>), the Company irrevocably grants to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XII.2</w:t>
      </w:r>
    </w:p>
    <w:p>
      <w:pPr>
        <w:pStyle w:val="TextBody"/>
        <w:bidi w:val="0"/>
        <w:spacing w:before="0" w:after="240"/>
        <w:jc w:val="both"/>
        <w:rPr/>
      </w:pPr>
      <w:r>
        <w:rPr>
          <w:rFonts w:ascii="Times New Roman" w:hAnsi="Times New Roman"/>
          <w:color w:val="000000"/>
          <w:sz w:val="22"/>
          <w:u w:val="single"/>
        </w:rPr>
        <w:t>Exercise Price.</w:t>
      </w:r>
      <w:r>
        <w:rPr>
          <w:color w:val="000000"/>
        </w:rPr>
        <w:t xml:space="preserve"> </w:t>
      </w:r>
      <w:r>
        <w:rPr>
          <w:rFonts w:ascii="Times New Roman" w:hAnsi="Times New Roman"/>
          <w:color w:val="000000"/>
          <w:sz w:val="22"/>
        </w:rPr>
        <w:t xml:space="preserve">The exercise price of the Shares subject to the Option shall be as set forth in the Grant Notice, without commission or other charge;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exercise price per share of the Shares subject to the Option shall not be less than 100% of the Fair Market Value of a Share on the Grant Date. Notwithstanding the foregoing, if this Option is designated as an Incentive Stock Option and Participant is a Greater Than 10% Stockholder as of the Grant Date, the exercise price per share of the Shares subject to the Option shall not be less than 110% of the Fair Market Value of a Share on the Grant Date.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PERIOD OF EXERCISABILITY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XIII.1</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Commencement of Exercisability.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this Section 3.1 and Sections 3.2, 3.3, 5.11 and 5.17 hereof, the Option shall become vested and exercisable in such amounts and at such times as are set forth in the Grant Notice.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(or any Subsidiary that is the employer of Participant) and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Section 3.1(a) hereof and the Grant Notice, but subject to Section 3.1(b) hereof, in the event of a Change in Control the Option shall be treated pursuant to Sections 9.2 and 9.3 of the Plan.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XIII.2</w:t>
      </w:r>
    </w:p>
    <w:p>
      <w:pPr>
        <w:pStyle w:val="TextBody"/>
        <w:bidi w:val="0"/>
        <w:spacing w:before="0" w:after="240"/>
        <w:jc w:val="both"/>
        <w:rPr/>
      </w:pPr>
      <w:r>
        <w:rPr>
          <w:rFonts w:ascii="Times New Roman" w:hAnsi="Times New Roman"/>
          <w:color w:val="000000"/>
          <w:sz w:val="22"/>
          <w:u w:val="single"/>
        </w:rPr>
        <w:t>Duration of Exercisability.</w:t>
      </w:r>
      <w:r>
        <w:rPr>
          <w:color w:val="000000"/>
        </w:rPr>
        <w:t xml:space="preserve"> </w:t>
      </w:r>
      <w:r>
        <w:rPr>
          <w:rFonts w:ascii="Times New Roman" w:hAnsi="Times New Roman"/>
          <w:color w:val="000000"/>
          <w:sz w:val="22"/>
        </w:rPr>
        <w:t>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XIII.3</w:t>
      </w:r>
    </w:p>
    <w:p>
      <w:pPr>
        <w:pStyle w:val="TextBody"/>
        <w:bidi w:val="0"/>
        <w:spacing w:before="0" w:after="240"/>
        <w:jc w:val="both"/>
        <w:rPr/>
      </w:pPr>
      <w:r>
        <w:rPr>
          <w:rFonts w:ascii="Times New Roman" w:hAnsi="Times New Roman"/>
          <w:color w:val="000000"/>
          <w:sz w:val="22"/>
          <w:u w:val="single"/>
        </w:rPr>
        <w:t>Expiration of Option.</w:t>
      </w:r>
      <w:r>
        <w:rPr>
          <w:color w:val="000000"/>
        </w:rPr>
        <w:t xml:space="preserve"> </w:t>
      </w:r>
      <w:r>
        <w:rPr>
          <w:rFonts w:ascii="Times New Roman" w:hAnsi="Times New Roman"/>
          <w:color w:val="000000"/>
          <w:sz w:val="22"/>
        </w:rPr>
        <w:t>The Option may not be exercised to any extent by anyone after the first to occur of the following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Expiration Date set forth in the Grant Notice, which shall in no event be more than ten years from the Grant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this Option is designated as an Incentive Stock Option and Participant, at the time the Option was granted, was a Greater Than 10% Stockholder, the expiration of five years from the Grant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expiration of three months from the date of Participant’s Termination of Service, unless such termination occurs by reason of Participant’s death or Disability or Cause;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expiration of one year from the date of Participant’s Termination of Service by reason of Participant’s death or Disability;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Participant’s Termination of Service for Cause.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XIII.4</w:t>
      </w:r>
    </w:p>
    <w:p>
      <w:pPr>
        <w:pStyle w:val="TextBody"/>
        <w:bidi w:val="0"/>
        <w:spacing w:before="0" w:after="240"/>
        <w:jc w:val="both"/>
        <w:rPr/>
      </w:pPr>
      <w:r>
        <w:rPr>
          <w:rFonts w:ascii="Times New Roman" w:hAnsi="Times New Roman"/>
          <w:color w:val="000000"/>
          <w:sz w:val="22"/>
          <w:u w:val="single"/>
        </w:rPr>
        <w:t>Special Tax Consequences.</w:t>
      </w:r>
      <w:r>
        <w:rPr>
          <w:color w:val="000000"/>
        </w:rPr>
        <w:t xml:space="preserve"> </w:t>
      </w:r>
      <w:r>
        <w:rPr>
          <w:rFonts w:ascii="Times New Roman" w:hAnsi="Times New Roman"/>
          <w:color w:val="000000"/>
          <w:sz w:val="22"/>
        </w:rPr>
        <w:t>Participant acknowledges that, to the extent that the aggregate Fair Market Value (determined as of the time the Option is granted) of all Shares with respect to which Incentive Stock Options, including the Option (if applicable), are exercisable for the first time by Participant in any calendar year exceeds $100,000, the Option and such other options shall be Nonqualified Stock Options to the extent necessary to comply with the limitations imposed by Section 422(d) of the Code.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Participant also acknowledges that an Incentive Stock Option exercised more than three months after Participant’s termination of employment, other than by reason of death or Disability, will be taxed as a Nonqualified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XIII.5</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 xml:space="preserve">Tax Indemnity.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agrees to hold harmless, indemnify and keep indemnified the Company, any Subsidiary and Participant’s employing company, if different, from and against any liability for or obligation to pay any Tax-Related Items that is attributable to (1) the grant or exercise of, or any benefit derived by Participant from, the Option, (2) the acquisition by Participant of the Shares on exercise of the Option or (3) the disposal of any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Option cannot be exercised until Participant has made such arrangements as the Company may require for the satisfaction of any Tax-Related Items that may arise in connection with the exercise of the Option or the acquisition of the Shares by Participant. The Company shall not be required to issue, allot or transfer Shares until Participant has satisfied this obligation.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hereby acknowledges that the Company (i) makes no representations or undertakings regarding the treatment of any Tax-Related Items in connection with any aspect of the Option and (ii) does not commit to and is under no obligation to structure the terms of the grant or any aspect of any Award, including the Option, to reduce or eliminate Participant’s liability for Tax-Related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Tax-Related Items in more than one jurisdiction.</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XIV.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EXERCISE OF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XIV.1</w:t>
      </w:r>
    </w:p>
    <w:p>
      <w:pPr>
        <w:pStyle w:val="TextBody"/>
        <w:bidi w:val="0"/>
        <w:spacing w:before="0" w:after="240"/>
        <w:jc w:val="both"/>
        <w:rPr/>
      </w:pPr>
      <w:r>
        <w:rPr>
          <w:rFonts w:ascii="Times New Roman" w:hAnsi="Times New Roman"/>
          <w:color w:val="000000"/>
          <w:sz w:val="22"/>
          <w:u w:val="single"/>
        </w:rPr>
        <w:t>Person Eligible to Exercise.</w:t>
      </w:r>
      <w:r>
        <w:rPr>
          <w:color w:val="000000"/>
        </w:rPr>
        <w:t xml:space="preserve"> </w:t>
      </w:r>
      <w:r>
        <w:rPr>
          <w:rFonts w:ascii="Times New Roman" w:hAnsi="Times New Roman"/>
          <w:color w:val="000000"/>
          <w:sz w:val="22"/>
        </w:rPr>
        <w:t>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XIV.2</w:t>
      </w:r>
    </w:p>
    <w:p>
      <w:pPr>
        <w:pStyle w:val="TextBody"/>
        <w:bidi w:val="0"/>
        <w:spacing w:before="0" w:after="240"/>
        <w:jc w:val="both"/>
        <w:rPr/>
      </w:pPr>
      <w:r>
        <w:rPr>
          <w:rFonts w:ascii="Times New Roman" w:hAnsi="Times New Roman"/>
          <w:color w:val="000000"/>
          <w:sz w:val="22"/>
          <w:u w:val="single"/>
        </w:rPr>
        <w:t>Partial Exercise.</w:t>
      </w:r>
      <w:r>
        <w:rPr>
          <w:color w:val="000000"/>
        </w:rPr>
        <w:t xml:space="preserve"> </w:t>
      </w:r>
      <w:r>
        <w:rPr>
          <w:rFonts w:ascii="Times New Roman" w:hAnsi="Times New Roman"/>
          <w:color w:val="000000"/>
          <w:sz w:val="22"/>
        </w:rPr>
        <w:t>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XIV.3</w:t>
      </w:r>
    </w:p>
    <w:p>
      <w:pPr>
        <w:pStyle w:val="TextBody"/>
        <w:bidi w:val="0"/>
        <w:spacing w:before="0" w:after="240"/>
        <w:jc w:val="both"/>
        <w:rPr/>
      </w:pPr>
      <w:r>
        <w:rPr>
          <w:rFonts w:ascii="Times New Roman" w:hAnsi="Times New Roman"/>
          <w:color w:val="000000"/>
          <w:sz w:val="22"/>
          <w:u w:val="single"/>
        </w:rPr>
        <w:t>Manner of Exercise.</w:t>
      </w:r>
      <w:r>
        <w:rPr>
          <w:color w:val="000000"/>
        </w:rPr>
        <w:t xml:space="preserve"> </w:t>
      </w:r>
      <w:r>
        <w:rPr>
          <w:rFonts w:ascii="Times New Roman" w:hAnsi="Times New Roman"/>
          <w:color w:val="000000"/>
          <w:sz w:val="22"/>
        </w:rPr>
        <w:t>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receipt by the Company of full payment for the Shares with respect to which the Option or portion thereof is exercised, including payment of any applicable Tax-Related Items, which shall be made by deduction from other compensation payable to Participant or in such other form of consideration permitted under Section 4.4 hereof that is acceptable to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other written representations or documents as may be required in the Administrator’s sole discretion to evidence compliance with the Securities Act, the Exchange Act or any other Applicable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the Option or portion thereof shall be exercised pursuant to Section 4.1 hereof by any person or persons other than Participant, appropriate proof of the right of such person or persons to exercise the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of the foregoing, the Company shall have the right to specify all conditions of the manner of exercise, which conditions may vary by country and which may be subject to change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XIV.4</w:t>
      </w:r>
    </w:p>
    <w:p>
      <w:pPr>
        <w:pStyle w:val="TextBody"/>
        <w:bidi w:val="0"/>
        <w:spacing w:before="0" w:after="240"/>
        <w:jc w:val="both"/>
        <w:rPr/>
      </w:pPr>
      <w:r>
        <w:rPr>
          <w:rFonts w:ascii="Times New Roman" w:hAnsi="Times New Roman"/>
          <w:color w:val="000000"/>
          <w:sz w:val="22"/>
          <w:u w:val="single"/>
        </w:rPr>
        <w:t>Method of Payment.</w:t>
      </w:r>
      <w:r>
        <w:rPr>
          <w:color w:val="000000"/>
        </w:rPr>
        <w:t xml:space="preserve"> </w:t>
      </w:r>
      <w:r>
        <w:rPr>
          <w:rFonts w:ascii="Times New Roman" w:hAnsi="Times New Roman"/>
          <w:color w:val="000000"/>
          <w:sz w:val="22"/>
        </w:rPr>
        <w:t>Payment of the exercise price shall be by any of the following, or a combination thereof, at the election of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or check;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hAnsi="Times New Roman"/>
          <w:i/>
          <w:color w:val="000000"/>
          <w:sz w:val="22"/>
        </w:rPr>
        <w:t>provided</w:t>
      </w:r>
      <w:r>
        <w:rPr>
          <w:color w:val="000000"/>
        </w:rPr>
        <w:t xml:space="preserve"> </w:t>
      </w:r>
      <w:r>
        <w:rPr>
          <w:rFonts w:ascii="Times New Roman" w:hAnsi="Times New Roman"/>
          <w:color w:val="000000"/>
          <w:sz w:val="22"/>
        </w:rPr>
        <w:t>that payment of such proceeds is then made to the Company at such time as may be required by the Company, but in any event not later than the settlement of such sale).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XIV.5</w:t>
      </w:r>
    </w:p>
    <w:p>
      <w:pPr>
        <w:pStyle w:val="TextBody"/>
        <w:bidi w:val="0"/>
        <w:spacing w:before="0" w:after="240"/>
        <w:jc w:val="both"/>
        <w:rPr/>
      </w:pPr>
      <w:r>
        <w:rPr>
          <w:rFonts w:ascii="Times New Roman" w:hAnsi="Times New Roman"/>
          <w:color w:val="000000"/>
          <w:sz w:val="22"/>
          <w:u w:val="single"/>
        </w:rPr>
        <w:t>Conditions to Issuance of Shares.</w:t>
      </w:r>
      <w:r>
        <w:rPr>
          <w:color w:val="000000"/>
        </w:rPr>
        <w:t xml:space="preserve"> </w:t>
      </w:r>
      <w:r>
        <w:rPr>
          <w:rFonts w:ascii="Times New Roman" w:hAnsi="Times New Roman"/>
          <w:color w:val="000000"/>
          <w:sz w:val="22"/>
        </w:rPr>
        <w:t>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admission of such Shares to listing on all stock exchanges on which such Shares are then listed;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obtaining of any approval or other clearance from any state or federal governmental agency which the Administrator shall, in its absolute discretion, determine to be necessary or advisable;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receipt by the Company of full payment for such Shares, including payment of any applicable Tax-Related Items, which may be in one or more of the forms of consideration permitted under Section 4.4 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lapse of such reasonable period of time following the exercise of the Option as the Administrator may from time to time establish for reasons of administrative convenience.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XIV.6</w:t>
      </w:r>
    </w:p>
    <w:p>
      <w:pPr>
        <w:pStyle w:val="TextBody"/>
        <w:bidi w:val="0"/>
        <w:spacing w:before="0" w:after="240"/>
        <w:jc w:val="both"/>
        <w:rPr/>
      </w:pPr>
      <w:r>
        <w:rPr>
          <w:rFonts w:ascii="Times New Roman" w:hAnsi="Times New Roman"/>
          <w:color w:val="000000"/>
          <w:sz w:val="22"/>
          <w:u w:val="single"/>
        </w:rPr>
        <w:t>Rights as Stockholder.</w:t>
      </w:r>
      <w:r>
        <w:rPr>
          <w:color w:val="000000"/>
        </w:rPr>
        <w:t xml:space="preserve"> </w:t>
      </w:r>
      <w:r>
        <w:rPr>
          <w:rFonts w:ascii="Times New Roman" w:hAnsi="Times New Roman"/>
          <w:color w:val="000000"/>
          <w:sz w:val="22"/>
        </w:rPr>
        <w:t xml:space="preserve">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XV.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OTHER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w:t>
      </w:r>
    </w:p>
    <w:p>
      <w:pPr>
        <w:pStyle w:val="TextBody"/>
        <w:bidi w:val="0"/>
        <w:spacing w:before="0" w:after="240"/>
        <w:jc w:val="both"/>
        <w:rPr/>
      </w:pPr>
      <w:r>
        <w:rPr>
          <w:rFonts w:ascii="Times New Roman" w:hAnsi="Times New Roman"/>
          <w:color w:val="000000"/>
          <w:sz w:val="22"/>
          <w:u w:val="single"/>
        </w:rPr>
        <w:t>Administration.</w:t>
      </w:r>
      <w:r>
        <w:rPr>
          <w:color w:val="000000"/>
        </w:rPr>
        <w:t xml:space="preserve"> </w:t>
      </w:r>
      <w:r>
        <w:rPr>
          <w:rFonts w:ascii="Times New Roman" w:hAnsi="Times New Roman"/>
          <w:color w:val="000000"/>
          <w:sz w:val="22"/>
        </w:rPr>
        <w:t xml:space="preserve">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XV.2</w:t>
      </w:r>
    </w:p>
    <w:p>
      <w:pPr>
        <w:pStyle w:val="TextBody"/>
        <w:bidi w:val="0"/>
        <w:spacing w:before="0" w:after="240"/>
        <w:jc w:val="both"/>
        <w:rPr/>
      </w:pPr>
      <w:r>
        <w:rPr>
          <w:rFonts w:ascii="Times New Roman" w:hAnsi="Times New Roman"/>
          <w:color w:val="000000"/>
          <w:sz w:val="22"/>
          <w:u w:val="single"/>
        </w:rPr>
        <w:t>Whole Shares.</w:t>
      </w:r>
      <w:r>
        <w:rPr>
          <w:color w:val="000000"/>
        </w:rPr>
        <w:t xml:space="preserve"> </w:t>
      </w:r>
      <w:r>
        <w:rPr>
          <w:rFonts w:ascii="Times New Roman" w:hAnsi="Times New Roman"/>
          <w:color w:val="000000"/>
          <w:sz w:val="22"/>
        </w:rPr>
        <w:t xml:space="preserve">The Option may only be exercised for whole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XV.3</w:t>
      </w:r>
    </w:p>
    <w:p>
      <w:pPr>
        <w:pStyle w:val="TextBody"/>
        <w:bidi w:val="0"/>
        <w:spacing w:before="0" w:after="240"/>
        <w:jc w:val="both"/>
        <w:rPr/>
      </w:pPr>
      <w:r>
        <w:rPr>
          <w:rFonts w:ascii="Times New Roman" w:hAnsi="Times New Roman"/>
          <w:color w:val="000000"/>
          <w:sz w:val="22"/>
          <w:u w:val="single"/>
        </w:rPr>
        <w:t>Transferability.</w:t>
      </w:r>
      <w:r>
        <w:rPr>
          <w:color w:val="000000"/>
        </w:rPr>
        <w:t xml:space="preserve"> </w:t>
      </w:r>
      <w:r>
        <w:rPr>
          <w:rFonts w:ascii="Times New Roman" w:hAnsi="Times New Roman"/>
          <w:color w:val="000000"/>
          <w:sz w:val="22"/>
        </w:rPr>
        <w:t xml:space="preserve">The Option shall be subject to the restrictions on transferability set forth in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10.1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XV.4</w:t>
      </w:r>
    </w:p>
    <w:p>
      <w:pPr>
        <w:pStyle w:val="TextBody"/>
        <w:bidi w:val="0"/>
        <w:spacing w:before="0" w:after="240"/>
        <w:jc w:val="both"/>
        <w:rPr/>
      </w:pPr>
      <w:r>
        <w:rPr>
          <w:rFonts w:ascii="Times New Roman" w:hAnsi="Times New Roman"/>
          <w:color w:val="000000"/>
          <w:sz w:val="22"/>
          <w:u w:val="single"/>
        </w:rPr>
        <w:t>Tax Consultation.</w:t>
      </w:r>
      <w:r>
        <w:rPr>
          <w:color w:val="000000"/>
        </w:rPr>
        <w:t xml:space="preserve"> </w:t>
      </w:r>
      <w:r>
        <w:rPr>
          <w:rFonts w:ascii="Times New Roman" w:hAnsi="Times New Roman"/>
          <w:color w:val="000000"/>
          <w:sz w:val="22"/>
        </w:rPr>
        <w:t>Participant understands that Participant may suffer adverse tax consequences as a result of the grant, vesting or exercise of the Option, or with the purchase or disposition of the Shares subject to the Option. Participant represents that Participant has consulted with any tax consultants Participant deems advisable in connection with the purchase or disposition of such Shares and that Participant is not relying on the Company for any tax advice.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XV.5</w:t>
      </w:r>
    </w:p>
    <w:p>
      <w:pPr>
        <w:pStyle w:val="TextBody"/>
        <w:bidi w:val="0"/>
        <w:spacing w:before="0" w:after="240"/>
        <w:jc w:val="both"/>
        <w:rPr/>
      </w:pPr>
      <w:r>
        <w:rPr>
          <w:rFonts w:ascii="Times New Roman" w:hAnsi="Times New Roman"/>
          <w:color w:val="000000"/>
          <w:sz w:val="22"/>
          <w:u w:val="single"/>
        </w:rPr>
        <w:t>Binding Agreement.</w:t>
      </w:r>
      <w:r>
        <w:rPr>
          <w:color w:val="000000"/>
        </w:rPr>
        <w:t xml:space="preserve"> </w:t>
      </w:r>
      <w:r>
        <w:rPr>
          <w:rFonts w:ascii="Times New Roman" w:hAnsi="Times New Roman"/>
          <w:color w:val="000000"/>
          <w:sz w:val="22"/>
        </w:rPr>
        <w:t>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XV.6</w:t>
      </w:r>
    </w:p>
    <w:p>
      <w:pPr>
        <w:pStyle w:val="TextBody"/>
        <w:bidi w:val="0"/>
        <w:spacing w:before="0" w:after="240"/>
        <w:jc w:val="both"/>
        <w:rPr/>
      </w:pPr>
      <w:r>
        <w:rPr>
          <w:rFonts w:ascii="Times New Roman" w:hAnsi="Times New Roman"/>
          <w:color w:val="000000"/>
          <w:sz w:val="22"/>
          <w:u w:val="single"/>
        </w:rPr>
        <w:t>Adjustments Upon Specified Events.</w:t>
      </w:r>
      <w:r>
        <w:rPr>
          <w:color w:val="000000"/>
        </w:rPr>
        <w:t xml:space="preserve"> </w:t>
      </w:r>
      <w:r>
        <w:rPr>
          <w:rFonts w:ascii="Times New Roman" w:hAnsi="Times New Roman"/>
          <w:color w:val="000000"/>
          <w:sz w:val="22"/>
        </w:rPr>
        <w:t>The Administrator may accelerate the vesting of the Option in such circumstances as it, in its sole discretion, may determine. Participant acknowledges that the Option is subject to adjustment, modification and termination in certain events as provided in this Agreement and Article IX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XV.7</w:t>
      </w:r>
    </w:p>
    <w:p>
      <w:pPr>
        <w:pStyle w:val="TextBody"/>
        <w:bidi w:val="0"/>
        <w:spacing w:before="0" w:after="240"/>
        <w:jc w:val="both"/>
        <w:rPr/>
      </w:pPr>
      <w:r>
        <w:rPr>
          <w:rFonts w:ascii="Times New Roman" w:hAnsi="Times New Roman"/>
          <w:color w:val="000000"/>
          <w:sz w:val="22"/>
          <w:u w:val="single"/>
        </w:rPr>
        <w:t>Notices.</w:t>
      </w:r>
      <w:r>
        <w:rPr>
          <w:color w:val="000000"/>
        </w:rPr>
        <w:t xml:space="preserve"> </w:t>
      </w:r>
      <w:r>
        <w:rPr>
          <w:rFonts w:ascii="Times New Roman" w:hAnsi="Times New Roman"/>
          <w:color w:val="000000"/>
          <w:sz w:val="22"/>
        </w:rPr>
        <w:t>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XV.8</w:t>
      </w:r>
    </w:p>
    <w:p>
      <w:pPr>
        <w:pStyle w:val="TextBody"/>
        <w:bidi w:val="0"/>
        <w:spacing w:before="0" w:after="240"/>
        <w:jc w:val="both"/>
        <w:rPr/>
      </w:pPr>
      <w:r>
        <w:rPr>
          <w:rFonts w:ascii="Times New Roman" w:hAnsi="Times New Roman"/>
          <w:color w:val="000000"/>
          <w:sz w:val="22"/>
          <w:u w:val="single"/>
        </w:rPr>
        <w:t>Titles.</w:t>
      </w:r>
      <w:r>
        <w:rPr>
          <w:color w:val="000000"/>
        </w:rPr>
        <w:t xml:space="preserve"> </w:t>
      </w:r>
      <w:r>
        <w:rPr>
          <w:rFonts w:ascii="Times New Roman" w:hAnsi="Times New Roman"/>
          <w:color w:val="000000"/>
          <w:sz w:val="22"/>
        </w:rPr>
        <w:t>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XV.9</w:t>
      </w:r>
    </w:p>
    <w:p>
      <w:pPr>
        <w:pStyle w:val="TextBody"/>
        <w:bidi w:val="0"/>
        <w:spacing w:before="0" w:after="240"/>
        <w:jc w:val="both"/>
        <w:rPr/>
      </w:pPr>
      <w:r>
        <w:rPr>
          <w:rFonts w:ascii="Times New Roman" w:hAnsi="Times New Roman"/>
          <w:color w:val="000000"/>
          <w:sz w:val="22"/>
          <w:u w:val="single"/>
        </w:rPr>
        <w:t>Governing Law.</w:t>
      </w:r>
      <w:r>
        <w:rPr>
          <w:color w:val="000000"/>
        </w:rPr>
        <w:t xml:space="preserve"> </w:t>
      </w:r>
      <w:r>
        <w:rPr>
          <w:rFonts w:ascii="Times New Roman" w:hAnsi="Times New Roman"/>
          <w:color w:val="000000"/>
          <w:sz w:val="22"/>
        </w:rPr>
        <w:t>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XV.10</w:t>
      </w:r>
    </w:p>
    <w:p>
      <w:pPr>
        <w:pStyle w:val="TextBody"/>
        <w:bidi w:val="0"/>
        <w:spacing w:before="0" w:after="240"/>
        <w:jc w:val="both"/>
        <w:rPr/>
      </w:pPr>
      <w:r>
        <w:rPr>
          <w:rFonts w:ascii="Times New Roman" w:hAnsi="Times New Roman"/>
          <w:color w:val="000000"/>
          <w:sz w:val="22"/>
          <w:u w:val="single"/>
        </w:rPr>
        <w:t>Conformity to Applicable Law.</w:t>
      </w:r>
      <w:r>
        <w:rPr>
          <w:color w:val="000000"/>
        </w:rPr>
        <w:t xml:space="preserve"> </w:t>
      </w:r>
      <w:r>
        <w:rPr>
          <w:rFonts w:ascii="Times New Roman" w:hAnsi="Times New Roman"/>
          <w:color w:val="000000"/>
          <w:sz w:val="22"/>
        </w:rPr>
        <w:t>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XV.11</w:t>
      </w:r>
    </w:p>
    <w:p>
      <w:pPr>
        <w:pStyle w:val="TextBody"/>
        <w:bidi w:val="0"/>
        <w:spacing w:before="0" w:after="240"/>
        <w:jc w:val="both"/>
        <w:rPr/>
      </w:pPr>
      <w:r>
        <w:rPr>
          <w:rFonts w:ascii="Times New Roman" w:hAnsi="Times New Roman"/>
          <w:color w:val="000000"/>
          <w:sz w:val="22"/>
          <w:u w:val="single"/>
        </w:rPr>
        <w:t>Amendment, Suspension and Termination.</w:t>
      </w:r>
      <w:r>
        <w:rPr>
          <w:color w:val="000000"/>
        </w:rPr>
        <w:t xml:space="preserve"> </w:t>
      </w:r>
      <w:r>
        <w:rPr>
          <w:rFonts w:ascii="Times New Roman" w:hAnsi="Times New Roman"/>
          <w:color w:val="000000"/>
          <w:sz w:val="22"/>
        </w:rPr>
        <w:t>To the extent permitted by the Plan, this Agreement may be wholly or partially amended or otherwise modified, suspended or terminated at any time or from time to time by the Administrator or the Board;</w:t>
      </w:r>
      <w:r>
        <w:rPr>
          <w:color w:val="000000"/>
        </w:rPr>
        <w:t xml:space="preserve">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except as may otherwise be provided by the Plan, no amendment, modification, suspension or termination of this Agreement shall adversely affect the Option in any material way without the prior written consent of Participant, unless such action is necessary to ensure or facilitate compliance with Applicable Law, as determined by the Administrator.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XV.12</w:t>
      </w:r>
    </w:p>
    <w:p>
      <w:pPr>
        <w:pStyle w:val="TextBody"/>
        <w:bidi w:val="0"/>
        <w:spacing w:before="0" w:after="240"/>
        <w:jc w:val="both"/>
        <w:rPr/>
      </w:pPr>
      <w:r>
        <w:rPr>
          <w:rFonts w:ascii="Times New Roman" w:hAnsi="Times New Roman"/>
          <w:color w:val="000000"/>
          <w:sz w:val="22"/>
          <w:u w:val="single"/>
        </w:rPr>
        <w:t>Successors and Assigns.</w:t>
      </w:r>
      <w:r>
        <w:rPr>
          <w:color w:val="000000"/>
        </w:rPr>
        <w:t xml:space="preserve"> </w:t>
      </w:r>
      <w:r>
        <w:rPr>
          <w:rFonts w:ascii="Times New Roman" w:hAnsi="Times New Roman"/>
          <w:color w:val="000000"/>
          <w:sz w:val="22"/>
        </w:rPr>
        <w:t>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XV.13</w:t>
      </w:r>
    </w:p>
    <w:p>
      <w:pPr>
        <w:pStyle w:val="TextBody"/>
        <w:bidi w:val="0"/>
        <w:spacing w:before="0" w:after="240"/>
        <w:jc w:val="both"/>
        <w:rPr/>
      </w:pPr>
      <w:r>
        <w:rPr>
          <w:rFonts w:ascii="Times New Roman" w:hAnsi="Times New Roman"/>
          <w:color w:val="000000"/>
          <w:sz w:val="22"/>
          <w:u w:val="single"/>
        </w:rPr>
        <w:t>Notification of Disposition.</w:t>
      </w:r>
      <w:r>
        <w:rPr>
          <w:color w:val="000000"/>
        </w:rPr>
        <w:t xml:space="preserve"> </w:t>
      </w:r>
      <w:r>
        <w:rPr>
          <w:rFonts w:ascii="Times New Roman" w:hAnsi="Times New Roman"/>
          <w:color w:val="000000"/>
          <w:sz w:val="22"/>
        </w:rPr>
        <w:t>If this Option is designated as an Incentive Stock Option,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XV.14</w:t>
      </w:r>
    </w:p>
    <w:p>
      <w:pPr>
        <w:pStyle w:val="TextBody"/>
        <w:bidi w:val="0"/>
        <w:spacing w:before="0" w:after="240"/>
        <w:jc w:val="both"/>
        <w:rPr/>
      </w:pPr>
      <w:r>
        <w:rPr>
          <w:rFonts w:ascii="Times New Roman" w:hAnsi="Times New Roman"/>
          <w:color w:val="000000"/>
          <w:sz w:val="22"/>
          <w:u w:val="single"/>
        </w:rPr>
        <w:t>Limitations Applicable to Section 16 Persons.</w:t>
      </w:r>
      <w:r>
        <w:rPr>
          <w:color w:val="000000"/>
        </w:rPr>
        <w:t xml:space="preserve"> </w:t>
      </w:r>
      <w:r>
        <w:rPr>
          <w:rFonts w:ascii="Times New Roman" w:hAnsi="Times New Roman"/>
          <w:color w:val="000000"/>
          <w:sz w:val="22"/>
        </w:rPr>
        <w:t>Notwithstanding any other provision of the Plan or this Agreement, if Participant is subject to Section 16 of the Exchange Act, then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XV.15</w:t>
      </w:r>
    </w:p>
    <w:p>
      <w:pPr>
        <w:pStyle w:val="TextBody"/>
        <w:bidi w:val="0"/>
        <w:spacing w:before="0" w:after="240"/>
        <w:jc w:val="both"/>
        <w:rPr/>
      </w:pPr>
      <w:r>
        <w:rPr>
          <w:rFonts w:ascii="Times New Roman" w:hAnsi="Times New Roman"/>
          <w:color w:val="000000"/>
          <w:sz w:val="22"/>
          <w:u w:val="single"/>
        </w:rPr>
        <w:t>Not a Contract of Service Relationship.</w:t>
      </w:r>
      <w:r>
        <w:rPr>
          <w:color w:val="000000"/>
        </w:rPr>
        <w:t xml:space="preserve"> </w:t>
      </w:r>
      <w:r>
        <w:rPr>
          <w:rFonts w:ascii="Times New Roman" w:hAnsi="Times New Roman"/>
          <w:color w:val="000000"/>
          <w:sz w:val="22"/>
        </w:rPr>
        <w:t>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XV.16</w:t>
      </w:r>
    </w:p>
    <w:p>
      <w:pPr>
        <w:pStyle w:val="TextBody"/>
        <w:bidi w:val="0"/>
        <w:spacing w:before="0" w:after="240"/>
        <w:jc w:val="both"/>
        <w:rPr/>
      </w:pPr>
      <w:r>
        <w:rPr>
          <w:rFonts w:ascii="Times New Roman" w:hAnsi="Times New Roman"/>
          <w:color w:val="000000"/>
          <w:sz w:val="22"/>
          <w:u w:val="single"/>
        </w:rPr>
        <w:t>Entire Agreement.</w:t>
      </w:r>
      <w:r>
        <w:rPr>
          <w:color w:val="000000"/>
        </w:rPr>
        <w:t xml:space="preserve"> </w:t>
      </w:r>
      <w:r>
        <w:rPr>
          <w:rFonts w:ascii="Times New Roman" w:hAnsi="Times New Roman"/>
          <w:color w:val="000000"/>
          <w:sz w:val="22"/>
        </w:rPr>
        <w:t>The Plan, the Grant Notice and this Agreement (including all Exhibits thereto, if any) constitute the entire agreement of the parties and supersede in their entirety all prior undertakings and agreements of the Company and Participant with respect to the subject matter hereof, provided that the Option shall be subject to any accelerated vesting provisions in any written agreement between Participant and the Company (or any Subsidiary that is the employer of Participant) or a Company plan pursuant to which Participant participates, in each case, in accordance with the terms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XV.17</w:t>
      </w:r>
    </w:p>
    <w:p>
      <w:pPr>
        <w:pStyle w:val="TextBody"/>
        <w:bidi w:val="0"/>
        <w:spacing w:before="0" w:after="240"/>
        <w:jc w:val="both"/>
        <w:rPr/>
      </w:pPr>
      <w:r>
        <w:rPr>
          <w:rFonts w:ascii="Times New Roman" w:hAnsi="Times New Roman"/>
          <w:color w:val="000000"/>
          <w:sz w:val="22"/>
          <w:u w:val="single"/>
        </w:rPr>
        <w:t>Section 409A.</w:t>
      </w:r>
      <w:r>
        <w:rPr>
          <w:color w:val="000000"/>
        </w:rPr>
        <w:t xml:space="preserve"> </w:t>
      </w:r>
      <w:r>
        <w:rPr>
          <w:rFonts w:ascii="Times New Roman" w:hAnsi="Times New Roman"/>
          <w:color w:val="000000"/>
          <w:sz w:val="22"/>
        </w:rPr>
        <w:t>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color w:val="000000"/>
          <w:sz w:val="22"/>
        </w:rPr>
        <w:t>Section 409A</w:t>
      </w:r>
      <w:r>
        <w:rPr>
          <w:color w:val="000000"/>
        </w:rPr>
        <w:t>”</w:t>
      </w:r>
      <w:r>
        <w:rPr>
          <w:rFonts w:ascii="Times New Roman" w:hAnsi="Times New Roman"/>
          <w:color w:val="000000"/>
          <w:sz w:val="22"/>
        </w:rPr>
        <w:t xml:space="preserve">).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XV.18</w:t>
      </w:r>
    </w:p>
    <w:p>
      <w:pPr>
        <w:pStyle w:val="TextBody"/>
        <w:bidi w:val="0"/>
        <w:spacing w:before="0" w:after="240"/>
        <w:jc w:val="both"/>
        <w:rPr/>
      </w:pPr>
      <w:r>
        <w:rPr>
          <w:rFonts w:ascii="Times New Roman" w:hAnsi="Times New Roman"/>
          <w:color w:val="000000"/>
          <w:sz w:val="22"/>
          <w:u w:val="single"/>
        </w:rPr>
        <w:t>Limitation on Participant’s Rights.</w:t>
      </w:r>
      <w:r>
        <w:rPr>
          <w:color w:val="000000"/>
        </w:rPr>
        <w:t xml:space="preserve"> </w:t>
      </w:r>
      <w:r>
        <w:rPr>
          <w:rFonts w:ascii="Times New Roman" w:hAnsi="Times New Roman"/>
          <w:color w:val="000000"/>
          <w:sz w:val="22"/>
        </w:rPr>
        <w:t>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Option, and rights no greater than the right to receive the Shares as a general unsecured creditor with respect to the Option, as and when exercised pursuant to the terms hereof.</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spacing w:before="0" w:after="240"/>
        <w:jc w:val="both"/>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2"/>
        </w:rPr>
        <w:t>SERVICETITAN, INC.</w:t>
        <w:br/>
        <w:t>2024 INCENTIVE AWARD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GLOBAL RESTRICTED STOCK UNIT AWARD GRANT NOTICE</w:t>
      </w:r>
    </w:p>
    <w:p>
      <w:pPr>
        <w:pStyle w:val="TextBody"/>
        <w:bidi w:val="0"/>
        <w:spacing w:before="0" w:after="240"/>
        <w:jc w:val="both"/>
        <w:rPr>
          <w:rFonts w:ascii="Times New Roman" w:hAnsi="Times New Roman"/>
          <w:sz w:val="20"/>
        </w:rPr>
      </w:pPr>
      <w:r>
        <w:rPr>
          <w:rFonts w:ascii="Times New Roman" w:hAnsi="Times New Roman"/>
          <w:color w:val="000000"/>
          <w:sz w:val="22"/>
        </w:rPr>
        <w:t>ServiceTitan,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pursuant to its 2024 Incentive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hereby grants to the holder listed below (“</w:t>
      </w:r>
      <w:r>
        <w:rPr>
          <w:rFonts w:ascii="Times New Roman" w:hAnsi="Times New Roman"/>
          <w:b/>
          <w:i/>
          <w:color w:val="000000"/>
          <w:sz w:val="22"/>
        </w:rPr>
        <w:t>Participant</w:t>
      </w:r>
      <w:r>
        <w:rPr>
          <w:rFonts w:ascii="Times New Roman" w:hAnsi="Times New Roman"/>
          <w:color w:val="000000"/>
          <w:sz w:val="20"/>
        </w:rPr>
        <w:t>”</w:t>
      </w:r>
      <w:r>
        <w:rPr>
          <w:rFonts w:ascii="Times New Roman" w:hAnsi="Times New Roman"/>
          <w:color w:val="000000"/>
          <w:sz w:val="22"/>
        </w:rPr>
        <w:t>), an award of restricted stock units (“</w:t>
      </w:r>
      <w:r>
        <w:rPr>
          <w:rFonts w:ascii="Times New Roman" w:hAnsi="Times New Roman"/>
          <w:b/>
          <w:i/>
          <w:color w:val="000000"/>
          <w:sz w:val="22"/>
        </w:rPr>
        <w:t>Restricted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RSUs</w:t>
      </w:r>
      <w:r>
        <w:rPr>
          <w:rFonts w:ascii="Times New Roman" w:hAnsi="Times New Roman"/>
          <w:color w:val="000000"/>
          <w:sz w:val="20"/>
        </w:rPr>
        <w:t>”</w:t>
      </w:r>
      <w:r>
        <w:rPr>
          <w:rFonts w:ascii="Times New Roman" w:hAnsi="Times New Roman"/>
          <w:color w:val="000000"/>
          <w:sz w:val="22"/>
        </w:rPr>
        <w:t xml:space="preserve">). Each vested RSU represents the right to receive, in accordance with the Global Restricted Stock Unit Award Agreement attached hereto as </w:t>
      </w:r>
      <w:r>
        <w:rPr>
          <w:rFonts w:ascii="Times New Roman" w:hAnsi="Times New Roman"/>
          <w:b/>
          <w:color w:val="000000"/>
          <w:sz w:val="22"/>
        </w:rPr>
        <w:t>Exhibit A</w:t>
      </w:r>
      <w:r>
        <w:rPr>
          <w:rFonts w:ascii="Times New Roman" w:hAnsi="Times New Roman"/>
          <w:color w:val="000000"/>
          <w:sz w:val="22"/>
        </w:rPr>
        <w:t>, including any additional terms and conditions set forth in any appendix for Participant’s country (the “</w:t>
      </w:r>
      <w:r>
        <w:rPr>
          <w:rFonts w:ascii="Times New Roman" w:hAnsi="Times New Roman"/>
          <w:b/>
          <w:i/>
          <w:color w:val="000000"/>
          <w:sz w:val="22"/>
        </w:rPr>
        <w:t>Appendix</w:t>
      </w:r>
      <w:r>
        <w:rPr>
          <w:rFonts w:ascii="Times New Roman" w:hAnsi="Times New Roman"/>
          <w:color w:val="000000"/>
          <w:sz w:val="20"/>
        </w:rPr>
        <w:t xml:space="preserve">” </w:t>
      </w:r>
      <w:r>
        <w:rPr>
          <w:rFonts w:ascii="Times New Roman" w:hAnsi="Times New Roman"/>
          <w:color w:val="000000"/>
          <w:sz w:val="22"/>
        </w:rPr>
        <w:t>and together with the Global Restricted Stock Unit Award Agreement,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one share of Class A Common Stock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This award of RSUs is subject to all of the terms and conditions set forth herein and in the Agreement and the Plan, each of which are incorporated herein by reference. Unless otherwise defined herein, the terms defined in the Plan shall have the same defined meanings in this Global Restricted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and the Agreement.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31"/>
        <w:gridCol w:w="8174"/>
      </w:tblGrid>
      <w:tr>
        <w:trPr/>
        <w:tc>
          <w:tcPr>
            <w:tcW w:w="2031" w:type="dxa"/>
            <w:tcBorders/>
            <w:vAlign w:val="center"/>
          </w:tcPr>
          <w:p>
            <w:pPr>
              <w:pStyle w:val="TableContents"/>
              <w:bidi w:val="0"/>
              <w:spacing w:before="0" w:after="283"/>
              <w:jc w:val="left"/>
              <w:rPr>
                <w:sz w:val="4"/>
                <w:szCs w:val="4"/>
              </w:rPr>
            </w:pPr>
            <w:r>
              <w:rPr>
                <w:sz w:val="4"/>
                <w:szCs w:val="4"/>
              </w:rPr>
            </w:r>
          </w:p>
        </w:tc>
        <w:tc>
          <w:tcPr>
            <w:tcW w:w="8174" w:type="dxa"/>
            <w:tcBorders/>
            <w:vAlign w:val="center"/>
          </w:tcPr>
          <w:p>
            <w:pPr>
              <w:pStyle w:val="TableContents"/>
              <w:bidi w:val="0"/>
              <w:spacing w:before="0" w:after="283"/>
              <w:ind w:left="0" w:right="0" w:firstLine="2"/>
              <w:jc w:val="left"/>
              <w:rPr>
                <w:sz w:val="4"/>
                <w:szCs w:val="4"/>
              </w:rPr>
            </w:pPr>
            <w:r>
              <w:rPr>
                <w:sz w:val="4"/>
                <w:szCs w:val="4"/>
              </w:rPr>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Participant:</w:t>
            </w:r>
          </w:p>
        </w:tc>
        <w:tc>
          <w:tcPr>
            <w:tcW w:w="8174" w:type="dxa"/>
            <w:tcBorders/>
            <w:tcMar>
              <w:top w:w="0" w:type="dxa"/>
              <w:left w:w="0" w:type="dxa"/>
              <w:bottom w:w="0" w:type="dxa"/>
              <w:right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[_____________]</w:t>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Grant Date:</w:t>
            </w:r>
          </w:p>
        </w:tc>
        <w:tc>
          <w:tcPr>
            <w:tcW w:w="8174" w:type="dxa"/>
            <w:tcBorders/>
            <w:tcMar>
              <w:top w:w="0" w:type="dxa"/>
              <w:left w:w="0" w:type="dxa"/>
              <w:bottom w:w="0" w:type="dxa"/>
              <w:right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[_____________]</w:t>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Total Number of RSUs:</w:t>
            </w:r>
          </w:p>
        </w:tc>
        <w:tc>
          <w:tcPr>
            <w:tcW w:w="8174" w:type="dxa"/>
            <w:tcBorders/>
            <w:tcMar>
              <w:top w:w="0" w:type="dxa"/>
              <w:left w:w="0" w:type="dxa"/>
              <w:bottom w:w="0" w:type="dxa"/>
              <w:right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 xml:space="preserve">[_____________] </w:t>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Vesting Commencement Date:</w:t>
            </w:r>
          </w:p>
        </w:tc>
        <w:tc>
          <w:tcPr>
            <w:tcW w:w="8174" w:type="dxa"/>
            <w:tcBorders/>
            <w:tcMar>
              <w:top w:w="0" w:type="dxa"/>
              <w:left w:w="0" w:type="dxa"/>
              <w:bottom w:w="0" w:type="dxa"/>
              <w:right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[_____________]</w:t>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Vesting Schedule:</w:t>
            </w:r>
          </w:p>
        </w:tc>
        <w:tc>
          <w:tcPr>
            <w:tcW w:w="8174" w:type="dxa"/>
            <w:tcBorders/>
            <w:tcMar>
              <w:top w:w="0" w:type="dxa"/>
              <w:left w:w="0" w:type="dxa"/>
              <w:bottom w:w="0" w:type="dxa"/>
              <w:right w:w="0" w:type="dxa"/>
            </w:tcMar>
            <w:vAlign w:val="center"/>
          </w:tcPr>
          <w:p>
            <w:pPr>
              <w:pStyle w:val="TableContents"/>
              <w:bidi w:val="0"/>
              <w:spacing w:before="120" w:after="283"/>
              <w:ind w:left="0" w:right="0" w:firstLine="2"/>
              <w:jc w:val="left"/>
              <w:rPr>
                <w:rFonts w:ascii="Times New Roman" w:hAnsi="Times New Roman"/>
                <w:color w:val="000000"/>
                <w:sz w:val="22"/>
              </w:rPr>
            </w:pPr>
            <w:r>
              <w:rPr>
                <w:rFonts w:ascii="Times New Roman" w:hAnsi="Times New Roman"/>
                <w:color w:val="000000"/>
                <w:sz w:val="22"/>
              </w:rPr>
              <w:t xml:space="preserve">[_____________] </w:t>
            </w:r>
          </w:p>
        </w:tc>
      </w:tr>
      <w:tr>
        <w:trPr/>
        <w:tc>
          <w:tcPr>
            <w:tcW w:w="2031" w:type="dxa"/>
            <w:tcBorders/>
            <w:tcMar>
              <w:top w:w="0" w:type="dxa"/>
              <w:left w:w="0" w:type="dxa"/>
              <w:bottom w:w="0" w:type="dxa"/>
              <w:right w:w="0" w:type="dxa"/>
            </w:tcMar>
            <w:vAlign w:val="center"/>
          </w:tcPr>
          <w:p>
            <w:pPr>
              <w:pStyle w:val="TableContents"/>
              <w:bidi w:val="0"/>
              <w:spacing w:before="60" w:after="60"/>
              <w:ind w:left="0" w:right="0" w:firstLine="2"/>
              <w:jc w:val="left"/>
              <w:rPr>
                <w:rFonts w:ascii="Times New Roman" w:hAnsi="Times New Roman"/>
                <w:b/>
                <w:color w:val="000000"/>
                <w:sz w:val="22"/>
              </w:rPr>
            </w:pPr>
            <w:r>
              <w:rPr>
                <w:rFonts w:ascii="Times New Roman" w:hAnsi="Times New Roman"/>
                <w:b/>
                <w:color w:val="000000"/>
                <w:sz w:val="22"/>
              </w:rPr>
              <w:t>Termination of Service:</w:t>
            </w:r>
          </w:p>
        </w:tc>
        <w:tc>
          <w:tcPr>
            <w:tcW w:w="8174" w:type="dxa"/>
            <w:tcBorders/>
            <w:tcMar>
              <w:top w:w="0" w:type="dxa"/>
              <w:left w:w="0" w:type="dxa"/>
              <w:bottom w:w="0" w:type="dxa"/>
              <w:right w:w="0" w:type="dxa"/>
            </w:tcMar>
            <w:vAlign w:val="center"/>
          </w:tcPr>
          <w:p>
            <w:pPr>
              <w:pStyle w:val="TableContents"/>
              <w:bidi w:val="0"/>
              <w:spacing w:before="120" w:after="240"/>
              <w:ind w:left="0" w:right="0" w:firstLine="2"/>
              <w:jc w:val="both"/>
              <w:rPr>
                <w:rFonts w:ascii="Times New Roman" w:hAnsi="Times New Roman"/>
                <w:color w:val="000000"/>
                <w:sz w:val="22"/>
              </w:rPr>
            </w:pPr>
            <w:r>
              <w:rPr>
                <w:rFonts w:ascii="Times New Roman" w:hAnsi="Times New Roman"/>
                <w:color w:val="000000"/>
                <w:sz w:val="22"/>
              </w:rPr>
              <w:t xml:space="preserve">Except as otherwise provided by the Administrator, if Participant experiences a Termination of Service, all RSUs that have not become vested on or prior to the date of such Termination of Service will thereupon be automatically forfeited by Participant without payment of any consideration therefor. </w:t>
            </w:r>
          </w:p>
        </w:tc>
      </w:tr>
    </w:tbl>
    <w:p>
      <w:pPr>
        <w:pStyle w:val="TextBody"/>
        <w:bidi w:val="0"/>
        <w:spacing w:before="120" w:after="240"/>
        <w:jc w:val="both"/>
        <w:rPr>
          <w:rFonts w:ascii="Times New Roman" w:hAnsi="Times New Roman"/>
          <w:sz w:val="20"/>
        </w:rPr>
      </w:pPr>
      <w:r>
        <w:rPr>
          <w:rFonts w:ascii="Times New Roman" w:hAnsi="Times New Roman"/>
          <w:color w:val="000000"/>
          <w:sz w:val="22"/>
        </w:rPr>
        <w:t>Participant understands that the terms of this award of RSUs explicitly include the following (a “</w:t>
      </w:r>
      <w:r>
        <w:rPr>
          <w:rFonts w:ascii="Times New Roman" w:hAnsi="Times New Roman"/>
          <w:b/>
          <w:i/>
          <w:color w:val="000000"/>
          <w:sz w:val="22"/>
        </w:rPr>
        <w:t>Sell to Cover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Except as otherwise determined by the Administrator, upon vesting of the RSUs and issuance of the resulting Shares, the Company, on Participant’s behalf, will instruct the Company’s transfer agent (together with any other party the Company determines necessary to execute the Sell to Cover, the “</w:t>
      </w:r>
      <w:r>
        <w:rPr>
          <w:rFonts w:ascii="Times New Roman" w:hAnsi="Times New Roman"/>
          <w:b/>
          <w:i/>
          <w:color w:val="000000"/>
          <w:sz w:val="22"/>
        </w:rPr>
        <w:t>Agent</w:t>
      </w:r>
      <w:r>
        <w:rPr>
          <w:rFonts w:ascii="Times New Roman" w:hAnsi="Times New Roman"/>
          <w:color w:val="000000"/>
          <w:sz w:val="20"/>
        </w:rPr>
        <w:t>”</w:t>
      </w:r>
      <w:r>
        <w:rPr>
          <w:rFonts w:ascii="Times New Roman" w:hAnsi="Times New Roman"/>
          <w:color w:val="000000"/>
          <w:sz w:val="22"/>
        </w:rPr>
        <w:t>) to sell that number of Shares determined in accordance with Section 2.6 of the Global Restricted Stock Unit Award Agreement as may be necessary to satisfy any resulting withholding tax obligations on the Company and/or any Subsidiary or other affiliate of the Company, and the Agent will remit the cash proceeds of such sale to the Company. The Company or such Subsidiary or other affiliate of the Company (as applicable) shall then make a cash payment equal to the required tax withholding from the cash proceeds of such sale directly to the appropriate taxing authorities. Notwithstanding the foregoing, at any time the Administrator may determine to require Participant to satisfy withholding tax obligations using any other method(s) permitted by the Plan in lieu of, or as a supplement to, the Sell to Cover contemplated by this paragraph.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RSUs in such electronic capitalization table system and Participant’s signature below shall be deemed to have occurred by Participant’s online acceptance of the RSUs through such electronic capitalization table system.</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40"/>
        <w:jc w:val="both"/>
        <w:rPr>
          <w:rFonts w:ascii="Times New Roman" w:hAnsi="Times New Roman"/>
          <w:sz w:val="20"/>
        </w:rPr>
      </w:pPr>
      <w:r>
        <w:rPr>
          <w:rFonts w:ascii="Times New Roman" w:hAnsi="Times New Roman"/>
          <w:color w:val="000000"/>
          <w:sz w:val="22"/>
        </w:rPr>
        <w:t>By Participant’s acceptance of the RSUs through the online acceptance procedure established by the Company or by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w:t>
      </w:r>
      <w:r>
        <w:rPr>
          <w:rFonts w:ascii="Times New Roman" w:hAnsi="Times New Roman"/>
          <w:color w:val="000000"/>
          <w:sz w:val="20"/>
        </w:rPr>
        <w:t xml:space="preserve"> </w:t>
      </w:r>
    </w:p>
    <w:tbl>
      <w:tblPr>
        <w:tblW w:w="4324" w:type="dxa"/>
        <w:jc w:val="left"/>
        <w:tblInd w:w="0" w:type="dxa"/>
        <w:tblLayout w:type="fixed"/>
        <w:tblCellMar>
          <w:top w:w="28" w:type="dxa"/>
          <w:left w:w="28" w:type="dxa"/>
          <w:bottom w:w="28" w:type="dxa"/>
          <w:right w:w="28" w:type="dxa"/>
        </w:tblCellMar>
      </w:tblPr>
      <w:tblGrid>
        <w:gridCol w:w="2162"/>
        <w:gridCol w:w="360"/>
        <w:gridCol w:w="1476"/>
        <w:gridCol w:w="326"/>
      </w:tblGrid>
      <w:tr>
        <w:trPr/>
        <w:tc>
          <w:tcPr>
            <w:tcW w:w="21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522" w:type="dxa"/>
            <w:gridSpan w:val="2"/>
            <w:tcBorders/>
            <w:tcMar>
              <w:top w:w="0" w:type="dxa"/>
              <w:left w:w="0" w:type="dxa"/>
              <w:bottom w:w="0" w:type="dxa"/>
              <w:right w:w="0" w:type="dxa"/>
            </w:tcMar>
            <w:vAlign w:val="center"/>
          </w:tcPr>
          <w:p>
            <w:pPr>
              <w:pStyle w:val="TableContents"/>
              <w:bidi w:val="0"/>
              <w:spacing w:before="0" w:after="120"/>
              <w:ind w:left="0" w:right="0" w:firstLine="2"/>
              <w:jc w:val="left"/>
              <w:rPr>
                <w:rFonts w:ascii="Times New Roman" w:hAnsi="Times New Roman"/>
                <w:b/>
                <w:smallCaps/>
                <w:color w:val="000000"/>
                <w:sz w:val="22"/>
              </w:rPr>
            </w:pPr>
            <w:r>
              <w:rPr>
                <w:rFonts w:ascii="Times New Roman" w:hAnsi="Times New Roman"/>
                <w:b/>
                <w:smallCaps/>
                <w:color w:val="000000"/>
                <w:sz w:val="22"/>
              </w:rPr>
              <w:t>SERVICETITAN, INC.:</w:t>
            </w:r>
          </w:p>
        </w:tc>
        <w:tc>
          <w:tcPr>
            <w:tcW w:w="1802" w:type="dxa"/>
            <w:gridSpan w:val="2"/>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b/>
                <w:color w:val="000000"/>
                <w:sz w:val="22"/>
              </w:rPr>
            </w:pPr>
            <w:r>
              <w:rPr>
                <w:rFonts w:ascii="Times New Roman" w:hAnsi="Times New Roman"/>
                <w:b/>
                <w:color w:val="000000"/>
                <w:sz w:val="22"/>
              </w:rPr>
              <w:t>PARTICIPANT:</w:t>
            </w:r>
          </w:p>
        </w:tc>
      </w:tr>
      <w:tr>
        <w:trPr/>
        <w:tc>
          <w:tcPr>
            <w:tcW w:w="2162"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By:</w:t>
            </w:r>
          </w:p>
        </w:tc>
        <w:tc>
          <w:tcPr>
            <w:tcW w:w="360"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By:</w:t>
            </w:r>
          </w:p>
        </w:tc>
        <w:tc>
          <w:tcPr>
            <w:tcW w:w="326"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r>
      <w:tr>
        <w:trPr/>
        <w:tc>
          <w:tcPr>
            <w:tcW w:w="2162"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 xml:space="preserve">Print Name: </w:t>
            </w:r>
          </w:p>
        </w:tc>
        <w:tc>
          <w:tcPr>
            <w:tcW w:w="360"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 xml:space="preserve">Print Name: </w:t>
            </w:r>
          </w:p>
        </w:tc>
        <w:tc>
          <w:tcPr>
            <w:tcW w:w="326"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r>
      <w:tr>
        <w:trPr/>
        <w:tc>
          <w:tcPr>
            <w:tcW w:w="2162"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Title:</w:t>
            </w:r>
          </w:p>
        </w:tc>
        <w:tc>
          <w:tcPr>
            <w:tcW w:w="360"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ind w:left="0" w:right="0" w:firstLine="2"/>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r>
      <w:tr>
        <w:trPr/>
        <w:tc>
          <w:tcPr>
            <w:tcW w:w="2162"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 xml:space="preserve">Address: </w:t>
            </w:r>
          </w:p>
        </w:tc>
        <w:tc>
          <w:tcPr>
            <w:tcW w:w="360" w:type="dxa"/>
            <w:tcBorders/>
            <w:tcMar>
              <w:top w:w="0" w:type="dxa"/>
              <w:left w:w="0" w:type="dxa"/>
              <w:bottom w:w="0" w:type="dxa"/>
              <w:right w:w="0" w:type="dxa"/>
            </w:tcMar>
            <w:vAlign w:val="center"/>
          </w:tcPr>
          <w:p>
            <w:pPr>
              <w:pStyle w:val="TableContents"/>
              <w:bidi w:val="0"/>
              <w:spacing w:before="0" w:after="283"/>
              <w:ind w:left="0" w:right="0" w:firstLine="2"/>
              <w:jc w:val="both"/>
              <w:rPr/>
            </w:pPr>
            <w:r>
              <w:rPr/>
              <w:t> </w:t>
            </w:r>
          </w:p>
        </w:tc>
        <w:tc>
          <w:tcPr>
            <w:tcW w:w="1476" w:type="dxa"/>
            <w:tcBorders/>
            <w:tcMar>
              <w:top w:w="0" w:type="dxa"/>
              <w:left w:w="0" w:type="dxa"/>
              <w:bottom w:w="0" w:type="dxa"/>
              <w:right w:w="0" w:type="dxa"/>
            </w:tcMar>
            <w:vAlign w:val="center"/>
          </w:tcPr>
          <w:p>
            <w:pPr>
              <w:pStyle w:val="TableContents"/>
              <w:bidi w:val="0"/>
              <w:spacing w:before="0" w:after="283"/>
              <w:ind w:left="0" w:right="0" w:firstLine="2"/>
              <w:jc w:val="both"/>
              <w:rPr>
                <w:rFonts w:ascii="Times New Roman" w:hAnsi="Times New Roman"/>
                <w:color w:val="000000"/>
                <w:sz w:val="22"/>
              </w:rPr>
            </w:pPr>
            <w:r>
              <w:rPr>
                <w:rFonts w:ascii="Times New Roman" w:hAnsi="Times New Roman"/>
                <w:color w:val="000000"/>
                <w:sz w:val="22"/>
              </w:rPr>
              <w:t xml:space="preserve">Address: </w:t>
            </w:r>
          </w:p>
        </w:tc>
        <w:tc>
          <w:tcPr>
            <w:tcW w:w="326" w:type="dxa"/>
            <w:tcBorders/>
            <w:tcMar>
              <w:top w:w="0" w:type="dxa"/>
              <w:left w:w="0" w:type="dxa"/>
              <w:bottom w:w="0" w:type="dxa"/>
              <w:right w:w="0" w:type="dxa"/>
            </w:tcMar>
            <w:vAlign w:val="center"/>
          </w:tcPr>
          <w:p>
            <w:pPr>
              <w:pStyle w:val="TableContents"/>
              <w:bidi w:val="0"/>
              <w:ind w:left="0" w:right="0" w:firstLine="2"/>
              <w:jc w:val="both"/>
              <w:rPr/>
            </w:pPr>
            <w:r>
              <w:rPr/>
              <w:t> </w:t>
            </w:r>
          </w:p>
          <w:p>
            <w:pPr>
              <w:pStyle w:val="TableContents"/>
              <w:bidi w:val="0"/>
              <w:spacing w:before="0" w:after="283"/>
              <w:ind w:left="0" w:right="0" w:firstLine="2"/>
              <w:jc w:val="both"/>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TO GLOBAL RESTRICTED STOCK UNIT AWARD GRANT NOTICE</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GLOBAL RESTRICTED STOCK UNIT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Pursuant to the Global Restricted Stock Unit Award Grant Notice (the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color w:val="000000"/>
          <w:sz w:val="22"/>
        </w:rPr>
        <w:t>) to which this Global Restricted Stock Unit Award Agreement, including any additional terms and conditions set forth in any appendix for Participant’s country (the “</w:t>
      </w:r>
      <w:r>
        <w:rPr>
          <w:rFonts w:ascii="Times New Roman" w:hAnsi="Times New Roman"/>
          <w:b/>
          <w:i/>
          <w:color w:val="000000"/>
          <w:sz w:val="22"/>
        </w:rPr>
        <w:t>Appendix</w:t>
      </w:r>
      <w:r>
        <w:rPr>
          <w:rFonts w:ascii="Times New Roman" w:hAnsi="Times New Roman"/>
          <w:color w:val="000000"/>
          <w:sz w:val="20"/>
        </w:rPr>
        <w:t xml:space="preserve">” </w:t>
      </w:r>
      <w:r>
        <w:rPr>
          <w:rFonts w:ascii="Times New Roman" w:hAnsi="Times New Roman"/>
          <w:color w:val="000000"/>
          <w:sz w:val="22"/>
        </w:rPr>
        <w:t>and together with the Global Restricted Stock Unit Award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is attached, ServiceTitan,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granted to Participant the number of restricted stock units (“</w:t>
      </w:r>
      <w:r>
        <w:rPr>
          <w:rFonts w:ascii="Times New Roman" w:hAnsi="Times New Roman"/>
          <w:b/>
          <w:i/>
          <w:color w:val="000000"/>
          <w:sz w:val="22"/>
        </w:rPr>
        <w:t>Restricted Stock Units</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b/>
          <w:i/>
          <w:color w:val="000000"/>
          <w:sz w:val="22"/>
        </w:rPr>
        <w:t>RSUs</w:t>
      </w:r>
      <w:r>
        <w:rPr>
          <w:rFonts w:ascii="Times New Roman" w:hAnsi="Times New Roman"/>
          <w:color w:val="000000"/>
          <w:sz w:val="20"/>
        </w:rPr>
        <w:t>”</w:t>
      </w:r>
      <w:r>
        <w:rPr>
          <w:rFonts w:ascii="Times New Roman" w:hAnsi="Times New Roman"/>
          <w:color w:val="000000"/>
          <w:sz w:val="22"/>
        </w:rPr>
        <w:t>) set forth in the Grant Notice under the Company’s 2024 Incentive Award Plan, as may be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Each RSU represents the right to receive one share of Class A Common Stock (a “</w:t>
      </w:r>
      <w:r>
        <w:rPr>
          <w:rFonts w:ascii="Times New Roman" w:hAnsi="Times New Roman"/>
          <w:b/>
          <w:i/>
          <w:color w:val="000000"/>
          <w:sz w:val="22"/>
        </w:rPr>
        <w:t>Share</w:t>
      </w:r>
      <w:r>
        <w:rPr>
          <w:rFonts w:ascii="Times New Roman" w:hAnsi="Times New Roman"/>
          <w:color w:val="000000"/>
          <w:sz w:val="20"/>
        </w:rPr>
        <w:t>”</w:t>
      </w:r>
      <w:r>
        <w:rPr>
          <w:rFonts w:ascii="Times New Roman" w:hAnsi="Times New Roman"/>
          <w:color w:val="000000"/>
          <w:sz w:val="22"/>
        </w:rPr>
        <w:t>) upon vesting.</w:t>
      </w:r>
    </w:p>
    <w:p>
      <w:pPr>
        <w:pStyle w:val="Heading1"/>
        <w:bidi w:val="0"/>
        <w:spacing w:before="0" w:after="240"/>
        <w:jc w:val="center"/>
        <w:rPr>
          <w:rFonts w:ascii="Times New Roman" w:hAnsi="Times New Roman"/>
          <w:smallCaps/>
          <w:color w:val="000000"/>
          <w:sz w:val="22"/>
        </w:rPr>
      </w:pPr>
      <w:r>
        <w:rPr>
          <w:rFonts w:ascii="Times New Roman" w:hAnsi="Times New Roman"/>
          <w:smallCaps/>
          <w:color w:val="000000"/>
          <w:sz w:val="22"/>
        </w:rPr>
        <w:br/>
        <w:t>GENERAL</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Defined Terms.</w:t>
      </w:r>
      <w:r>
        <w:rPr>
          <w:rFonts w:ascii="Times New Roman" w:hAnsi="Times New Roman"/>
          <w:color w:val="000000"/>
          <w:sz w:val="20"/>
        </w:rPr>
        <w:t xml:space="preserve"> </w:t>
      </w:r>
      <w:r>
        <w:rPr>
          <w:rFonts w:ascii="Times New Roman" w:hAnsi="Times New Roman"/>
          <w:b w:val="false"/>
          <w:color w:val="000000"/>
          <w:sz w:val="22"/>
        </w:rPr>
        <w:t>Capitalized terms not specifically defined herein shall have the meanings specified in the Plan and the Grant Notice.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Incorporation of Terms of Plan.</w:t>
      </w:r>
      <w:r>
        <w:rPr>
          <w:rFonts w:ascii="Times New Roman" w:hAnsi="Times New Roman"/>
          <w:color w:val="000000"/>
          <w:sz w:val="20"/>
        </w:rPr>
        <w:t xml:space="preserve"> </w:t>
      </w:r>
      <w:r>
        <w:rPr>
          <w:rFonts w:ascii="Times New Roman" w:hAnsi="Times New Roman"/>
          <w:b w:val="false"/>
          <w:color w:val="000000"/>
          <w:sz w:val="22"/>
        </w:rPr>
        <w:t>The RSUs are subject to the terms and conditions of the Plan, which are incorporated herein by reference. In the event of any inconsistency between the Plan and this Agreement, the terms of the Plan shall control.</w:t>
      </w:r>
    </w:p>
    <w:p>
      <w:pPr>
        <w:pStyle w:val="Heading1"/>
        <w:bidi w:val="0"/>
        <w:spacing w:before="0" w:after="240"/>
        <w:jc w:val="center"/>
        <w:rPr>
          <w:rFonts w:ascii="Times New Roman" w:hAnsi="Times New Roman"/>
          <w:smallCaps/>
          <w:color w:val="000000"/>
          <w:sz w:val="22"/>
        </w:rPr>
      </w:pPr>
      <w:r>
        <w:rPr>
          <w:rFonts w:ascii="Times New Roman" w:hAnsi="Times New Roman"/>
          <w:smallCaps/>
          <w:color w:val="000000"/>
          <w:sz w:val="22"/>
        </w:rPr>
        <w:br/>
        <w:t>GRANT OF RESTRICTED STOCK UNITS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Grant of RSUs.</w:t>
      </w:r>
      <w:r>
        <w:rPr>
          <w:rFonts w:ascii="Times New Roman" w:hAnsi="Times New Roman"/>
          <w:color w:val="000000"/>
          <w:sz w:val="20"/>
        </w:rPr>
        <w:t xml:space="preserve"> </w:t>
      </w:r>
      <w:r>
        <w:rPr>
          <w:rFonts w:ascii="Times New Roman" w:hAnsi="Times New Roman"/>
          <w:b w:val="false"/>
          <w:color w:val="000000"/>
          <w:sz w:val="22"/>
        </w:rPr>
        <w:t>Pursuant to the Grant Notice and upon the terms and conditions set forth in the Plan and this Agreement, effective as of the Grant Date set forth in the Grant Notice, the Company grants to Participant an award of RSUs under the Plan.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Unsecured Obligation to RSUs.</w:t>
      </w:r>
      <w:r>
        <w:rPr>
          <w:rFonts w:ascii="Times New Roman" w:hAnsi="Times New Roman"/>
          <w:color w:val="000000"/>
          <w:sz w:val="20"/>
        </w:rPr>
        <w:t xml:space="preserve"> </w:t>
      </w:r>
      <w:r>
        <w:rPr>
          <w:rFonts w:ascii="Times New Roman" w:hAnsi="Times New Roman"/>
          <w:b w:val="false"/>
          <w:color w:val="000000"/>
          <w:sz w:val="22"/>
        </w:rPr>
        <w:t>Unless and until the RSUs have vested in the manner set forth in Section 2.3 hereof, Participant will have no right to receive Shares under any such RSUs. Prior to actual payment of any vested RSUs, such RSUs will represent an unsecured obligation of the Company, payable (if at all) only from the general assets of the Company.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Vesting Schedule.</w:t>
      </w:r>
      <w:r>
        <w:rPr>
          <w:rFonts w:ascii="Times New Roman" w:hAnsi="Times New Roman"/>
          <w:color w:val="000000"/>
          <w:sz w:val="20"/>
        </w:rPr>
        <w:t xml:space="preserve"> </w:t>
      </w:r>
      <w:r>
        <w:rPr>
          <w:rFonts w:ascii="Times New Roman" w:hAnsi="Times New Roman"/>
          <w:b w:val="false"/>
          <w:color w:val="000000"/>
          <w:sz w:val="22"/>
        </w:rPr>
        <w:t>Subject to Section 2.4 hereof, the RSUs shall vest and become nonforfeitable with respect to the applicable portion thereof according to the vesting schedule set forth in the Grant Notice (rounding down to the nearest whole Share). Notwithstanding the foregoing and the Grant Notice, but subject to Section 2.4 hereof, in the event of a Change in Control, the RSUs shall be treated pursuant to Section 9 of the Plan.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Forfeiture, Termination and Cancellation upon Termination of Service.</w:t>
      </w:r>
      <w:r>
        <w:rPr>
          <w:rFonts w:ascii="Times New Roman" w:hAnsi="Times New Roman"/>
          <w:color w:val="000000"/>
          <w:sz w:val="20"/>
        </w:rPr>
        <w:t xml:space="preserve"> </w:t>
      </w:r>
      <w:r>
        <w:rPr>
          <w:rFonts w:ascii="Times New Roman" w:hAnsi="Times New Roman"/>
          <w:b w:val="false"/>
          <w:color w:val="000000"/>
          <w:sz w:val="22"/>
        </w:rPr>
        <w:t>Notwithstanding any contrary provision of this Agreement or the Plan, except as otherwise provided by the Administrator, upon Participant’s Termination of Service for any or no reason, all RSUs which have not vested prior to or in connection with such Termination of Service shall thereupon automatically be forfeited, terminated and cancelled as of the Termination Date (as defined below) without payment of any consideration by the Company, and Participant, or Participant’s beneficiary or personal representative, as the case may be, shall have no further rights hereunder. No portion of the RSUs which has not become vested as of the Termination Date shall thereafter become vested, except as may otherwise be provided by the Administrator or as set forth in a written agreement between the Company and Participant. For the avoidance of doubt,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employment or service during only a portion of the vesting period shall not entitle Participant to vest in a pro-rata portion of the RSUs.</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the RSUs, Participant’s Termination of Service is deemed to occur as of the date Participant is no longer actively providing services to the Company or any Subsidiary (regardless of the reason for the termination and whether or not later found to be invalid or in breach of Applicable Law in the jurisdiction where Participant is rendering services or the terms of Participant’s employment or other service agreement, if any) (the “</w:t>
      </w:r>
      <w:r>
        <w:rPr>
          <w:rFonts w:ascii="Times New Roman" w:hAnsi="Times New Roman"/>
          <w:b/>
          <w:i/>
          <w:color w:val="000000"/>
          <w:sz w:val="22"/>
        </w:rPr>
        <w:t>Termination Date</w:t>
      </w:r>
      <w:r>
        <w:rPr>
          <w:rFonts w:ascii="Times New Roman" w:hAnsi="Times New Roman"/>
          <w:color w:val="000000"/>
          <w:sz w:val="20"/>
        </w:rPr>
        <w:t>”</w:t>
      </w:r>
      <w:r>
        <w:rPr>
          <w:rFonts w:ascii="Times New Roman" w:hAnsi="Times New Roman"/>
          <w:color w:val="000000"/>
          <w:sz w:val="22"/>
        </w:rPr>
        <w:t>), and unless otherwise determined by the Administrator, Participant’s right to vest in the RSUs, if any, will terminate as of the Termination Date and will not be extended by any notice period (</w:t>
      </w:r>
      <w:r>
        <w:rPr>
          <w:rFonts w:ascii="Times New Roman" w:hAnsi="Times New Roman"/>
          <w:i/>
          <w:color w:val="000000"/>
          <w:sz w:val="22"/>
        </w:rPr>
        <w:t>e.g.</w:t>
      </w:r>
      <w:r>
        <w:rPr>
          <w:rFonts w:ascii="Times New Roman" w:hAnsi="Times New Roman"/>
          <w:color w:val="000000"/>
          <w:sz w:val="22"/>
        </w:rPr>
        <w:t>, Participant’s period of service would not include any contractual notice period or any period of “garden leave” or similar period mandated under the Applicable Law of the jurisdiction where Participant is rendering services or the terms of Participant’s employment or other service agreement, if any). The Administrator shall have the exclusive discretion to determine when Participant is no longer actively providing services for purposes of the RSUs (including whether Participant may still be considered to be providing services while on a leave of absence) and, hence, when the Termination Date occurs.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Issuance of Shares Following Vesting.</w:t>
      </w:r>
      <w:r>
        <w:rPr>
          <w:rFonts w:ascii="Times New Roman" w:hAnsi="Times New Roman"/>
          <w:color w:val="000000"/>
          <w:sz w:val="20"/>
        </w:rPr>
        <w:t xml:space="preserve"> </w:t>
      </w:r>
      <w:r>
        <w:rPr>
          <w:rFonts w:ascii="Times New Roman" w:hAnsi="Times New Roman"/>
          <w:b w:val="false"/>
          <w:color w:val="000000"/>
          <w:sz w:val="22"/>
        </w:rPr>
        <w:t>As soon as administratively practicable following the vesting of any RSUs pursuant to Section 2.3 hereof, but in no event later than March 15 of the year after the year of vesting (for the avoidance of doubt, this deadline is intended to comply with the “short term deferral” exemption from Section 409A of the Code), the Company shall deliver to Participant (or any transferee permitted under Section 3.3 hereof) a number of Shares equal to the number of RSUs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pStyle w:val="Heading2"/>
        <w:bidi w:val="0"/>
        <w:spacing w:before="0" w:after="240"/>
        <w:jc w:val="both"/>
        <w:rPr>
          <w:rFonts w:ascii="Times New Roman" w:hAnsi="Times New Roman"/>
          <w:b w:val="false"/>
          <w:color w:val="000000"/>
          <w:sz w:val="22"/>
          <w:u w:val="single"/>
        </w:rPr>
      </w:pPr>
      <w:r>
        <w:rPr>
          <w:rFonts w:ascii="Times New Roman" w:hAnsi="Times New Roman"/>
          <w:b w:val="false"/>
          <w:color w:val="000000"/>
          <w:sz w:val="22"/>
          <w:u w:val="single"/>
        </w:rPr>
        <w:t>Responsibility for Taxes.</w:t>
      </w:r>
    </w:p>
    <w:p>
      <w:pPr>
        <w:pStyle w:val="TextBody"/>
        <w:bidi w:val="0"/>
        <w:spacing w:before="0" w:after="240"/>
        <w:jc w:val="both"/>
        <w:rPr>
          <w:rFonts w:ascii="Times New Roman" w:hAnsi="Times New Roman"/>
          <w:sz w:val="20"/>
        </w:rPr>
      </w:pPr>
      <w:r>
        <w:rPr>
          <w:rFonts w:ascii="Times New Roman" w:hAnsi="Times New Roman"/>
          <w:color w:val="000000"/>
          <w:sz w:val="22"/>
        </w:rPr>
        <w:t>Participant acknowledges that, regardless of any action taken by the Company or, if different, the Subsidiary or other affiliate of the Company for which Participant renders services (the “</w:t>
      </w:r>
      <w:r>
        <w:rPr>
          <w:rFonts w:ascii="Times New Roman" w:hAnsi="Times New Roman"/>
          <w:b/>
          <w:i/>
          <w:color w:val="000000"/>
          <w:sz w:val="22"/>
        </w:rPr>
        <w:t>Service Recipient</w:t>
      </w:r>
      <w:r>
        <w:rPr>
          <w:rFonts w:ascii="Times New Roman" w:hAnsi="Times New Roman"/>
          <w:color w:val="000000"/>
          <w:sz w:val="20"/>
        </w:rPr>
        <w:t>”</w:t>
      </w:r>
      <w:r>
        <w:rPr>
          <w:rFonts w:ascii="Times New Roman" w:hAnsi="Times New Roman"/>
          <w:color w:val="000000"/>
          <w:sz w:val="22"/>
        </w:rPr>
        <w:t>), the ultimate liability for all Tax-Related Items is and remains Participant’s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the subsequent sale of Shares acquired pursuant to the settlement of any RSUs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before="0" w:after="240"/>
        <w:jc w:val="both"/>
        <w:rPr>
          <w:rFonts w:ascii="Times New Roman" w:hAnsi="Times New Roman"/>
          <w:sz w:val="20"/>
        </w:rPr>
      </w:pPr>
      <w:r>
        <w:rPr>
          <w:rFonts w:ascii="Times New Roman" w:hAnsi="Times New Roman"/>
          <w:color w:val="000000"/>
          <w:sz w:val="22"/>
        </w:rPr>
        <w:t>As set forth in Section 10.5 of the Plan, the Company shall have the authority and the right to deduct or withhold, or to require Participant to remit to the Company, an amount sufficient to satisfy all applicable Tax-Related Items required by Applicable Law to be withheld with respect to any taxable event arising in connection with the RSUs. Except as otherwise determined by the Administrator, such Tax-Related Items shall be satisfied by using a Sell to Cover pursuant to the Grant Notice. Notwithstanding the foregoing, at any time the Administrator may determine to require Participant to satisfy Tax-Related Items required to be withheld using any other method(s) permitted by the Plan in lieu of, or as a supplement to, the Sell to Cover contemplated herein. The Company shall not be obligated to deliver any Shares to Participant or Participant’s legal representative unless and until Participant or Participant’s legal representative shall have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paid or otherwise satisfied in full the amount of all Tax-Related Items applicable to the taxable income of Participant arising in connection with the RSUs. By accepting this award of RSUs, Participant has agreed to a Sell to Cover to satisfy any Tax-Related Items calculated at statutory withholding amounts or other applicable withholding rates, including maximum rates applicable in Participant’s jurisdiction(s), as determined by the Company, and Participant hereby acknowledges and agrees: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hereby appoints the Agent as Participant’s agent and authorizes the Agent to sell on the open market at the then prevailing market price(s), on Participant’s behalf, as soon as practicable on or after the date the Shares are issued upon vesting of the RSUs, that number (rounded up to the next whole number) of the Shares so issued necessary to generate proceeds to cover (x) any Tax-Related Items incurred with respect to such vesting or issuance, and (y) all applicable fees and commissions due to, or required to be collected by, the Agent with respect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over-withholding, Participant may receive a refund of any over-withheld amount in cash (with no entitlement to the equivalent in Shares) or, if not refunded, Participant may be able to seek a refund from the local tax authorities. In the event of under-withholding, Participant may be required to pay any additional Tax-Related Items directly to the applicable tax authority or to the Company and/or the Service Recipient. If the obligations for Tax-Related Items is satisfied by withholding Shares, for tax purposes, Participant is deemed to have been issued the full number of Shares subject to the vested RSUs, notwithstanding that a number of the Shares is held back solely for the purpose of satisfying withholding obligations for Tax-Related Items.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hereby authorizes the Company and the Agent to cooperate and communicate with one another to determine the number of Shares that must be sold pursuant to subsection (i)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understands that the Agent may effect sales as provided in subsection (i) above in one or more sales and that the average price for executions resulting from bunched orders will be assigned to Participant’s account. In addition, Participant acknowledges that it may not be possible to sell Shares as provided in subsection (i) above due to (1) a legal or contractual restriction applicable to Participant or the Agent, (2) a market disruption or (3) rules governing order execution priority on the national exchange where the Shares may be traded. In the event of the Agent’s inability to sell Shares, Participant will continue to be responsible for the timely payment to the Company and/or the Service Recipient of all Tax-Related Items that are required by Applicable Law to be withheld.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acknowledges that regardless of any other term or condition of this Section 2.6(b), the Agent will not be liable to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hereby agrees to execute and deliver to the Agent any other agreements or documents as the Agent reasonably deems necessary or appropriate to carry out the purposes and intent of this Section 2.6(b). The Agent is a third-party beneficiary of this Section 2.6(b).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Section 2.6(b) shall terminate not later than the date on which all obligations arising in connection with Tax-Related Items have been satisfied.</w:t>
      </w:r>
    </w:p>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Conditions to Delivery of Shares.</w:t>
      </w:r>
      <w:r>
        <w:rPr>
          <w:rFonts w:ascii="Times New Roman" w:hAnsi="Times New Roman"/>
          <w:color w:val="000000"/>
          <w:sz w:val="20"/>
        </w:rPr>
        <w:t xml:space="preserve"> </w:t>
      </w:r>
      <w:r>
        <w:rPr>
          <w:rFonts w:ascii="Times New Roman" w:hAnsi="Times New Roman"/>
          <w:b w:val="false"/>
          <w:color w:val="000000"/>
          <w:sz w:val="22"/>
        </w:rPr>
        <w:t>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Rights as Stockholder.</w:t>
      </w:r>
      <w:r>
        <w:rPr>
          <w:rFonts w:ascii="Times New Roman" w:hAnsi="Times New Roman"/>
          <w:color w:val="000000"/>
          <w:sz w:val="20"/>
        </w:rPr>
        <w:t xml:space="preserve"> </w:t>
      </w:r>
      <w:r>
        <w:rPr>
          <w:rFonts w:ascii="Times New Roman" w:hAnsi="Times New Roman"/>
          <w:b w:val="false"/>
          <w:color w:val="000000"/>
          <w:sz w:val="22"/>
        </w:rPr>
        <w:t>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pStyle w:val="Heading1"/>
        <w:bidi w:val="0"/>
        <w:spacing w:before="0" w:after="240"/>
        <w:jc w:val="center"/>
        <w:rPr>
          <w:rFonts w:ascii="Times New Roman" w:hAnsi="Times New Roman"/>
          <w:smallCaps/>
          <w:color w:val="000000"/>
          <w:sz w:val="22"/>
        </w:rPr>
      </w:pPr>
      <w:r>
        <w:rPr>
          <w:rFonts w:ascii="Times New Roman" w:hAnsi="Times New Roman"/>
          <w:smallCaps/>
          <w:color w:val="000000"/>
          <w:sz w:val="22"/>
        </w:rPr>
        <w:br/>
        <w:t>OTHER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Nature of Grant.</w:t>
      </w:r>
      <w:r>
        <w:rPr>
          <w:rFonts w:ascii="Times New Roman" w:hAnsi="Times New Roman"/>
          <w:color w:val="000000"/>
          <w:sz w:val="20"/>
        </w:rPr>
        <w:t xml:space="preserve"> </w:t>
      </w:r>
      <w:r>
        <w:rPr>
          <w:rFonts w:ascii="Times New Roman" w:hAnsi="Times New Roman"/>
          <w:b w:val="false"/>
          <w:color w:val="000000"/>
          <w:sz w:val="22"/>
        </w:rPr>
        <w:t>By accepting the RSUs, Participant acknowledges, understands, and agrees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is established voluntarily by the Company, it is wholly discretionary in 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grant of the RSUs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decisions with respect to future RSU or other grants, if any, will be at the sole discretion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is voluntarily participating in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RSUs and any Shares acquired under the Plan, and the income from and value of same, are not intended to replace any pension rights or compensation;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RSUs and any Shares acquired under the Plan, and the income from and value of same, are not part of normal or expected compensation for any purposes, including for purposes of calculating any severance, resignation, termination, redundancy, dismissal, end-of-service payments, bonuses, long-service awards, holiday pay, pension or retirement or welfare benefits or similar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future value of the Shares underlying the RSUs is unknown, indeterminable, and cannot be predicted with certainty;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claim or entitlement to compensation or damages shall arise from forfeiture of the RSUs or the recoupment of any Shares acquired under the Plan resulting from (i) Participant’s Termination of Service (for any reason whatsoever, whether or not later found to be invalid or in breach of Applicable Law in the jurisdiction where Participant is providing service or the terms of Participant’s employment or other service agreement, if any) and/or (ii) the application of any recoupment policy or any recovery or clawback policy otherwise required by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agreed with the Company, the RSUs and the Shares subject to the RSUs, and the income from and value of same, are not granted as consideration for, or in connection with, the service Participant may provide as a director of a Subsidiary or other affiliate of the Company;</w:t>
      </w:r>
    </w:p>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provided in the Plan or by the Company in its discretion, the RSUs and the benefits evidenced by this Agreement do not create any entitlement to have the RSUs or any such benefits transferred to, or assumed by, another company nor be exchanged, cashed out or substituted for, in connection with any corporate transaction affecting the Shares;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the Service Recipient nor any other Subsidiary or other affiliate of the Company shall be liable for any foreign exchange rate fluctuation between Participant’s local currency and the U.S. dollar that may affect the value of the RSUs or of any amounts due to Participant pursuant to the vesting of the RSUs or the subsequent sale of any Shares acquired upon settlement of the RSUs.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Administration.</w:t>
      </w:r>
      <w:r>
        <w:rPr>
          <w:rFonts w:ascii="Times New Roman" w:hAnsi="Times New Roman"/>
          <w:color w:val="000000"/>
          <w:sz w:val="20"/>
        </w:rPr>
        <w:t xml:space="preserve"> </w:t>
      </w:r>
      <w:r>
        <w:rPr>
          <w:rFonts w:ascii="Times New Roman" w:hAnsi="Times New Roman"/>
          <w:b w:val="false"/>
          <w:color w:val="000000"/>
          <w:sz w:val="22"/>
        </w:rPr>
        <w:t>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RSUs.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Transferability.</w:t>
      </w:r>
      <w:r>
        <w:rPr>
          <w:rFonts w:ascii="Times New Roman" w:hAnsi="Times New Roman"/>
          <w:color w:val="000000"/>
          <w:sz w:val="20"/>
        </w:rPr>
        <w:t xml:space="preserve"> </w:t>
      </w:r>
      <w:r>
        <w:rPr>
          <w:rFonts w:ascii="Times New Roman" w:hAnsi="Times New Roman"/>
          <w:b w:val="false"/>
          <w:color w:val="000000"/>
          <w:sz w:val="22"/>
        </w:rPr>
        <w:t>The RSUs shall be subject to the restrictions on transferability set forth in Section 10.1 of the Plan.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No Advice Regarding Grant.</w:t>
      </w:r>
      <w:r>
        <w:rPr>
          <w:rFonts w:ascii="Times New Roman" w:hAnsi="Times New Roman"/>
          <w:color w:val="000000"/>
          <w:sz w:val="20"/>
        </w:rPr>
        <w:t xml:space="preserve"> </w:t>
      </w:r>
      <w:r>
        <w:rPr>
          <w:rFonts w:ascii="Times New Roman" w:hAnsi="Times New Roman"/>
          <w:b w:val="false"/>
          <w:color w:val="000000"/>
          <w:sz w:val="22"/>
        </w:rPr>
        <w:t>The Company is not providing any tax, legal or financial advice, nor is the Company making recommendations regarding participation in the Plan, or Participant’s acquisition or sale of the underlying Shares. Participant understands that Participant may incur tax consequences in connection with the RSUs granted pursuant to this Agreement (and the Shares issuable with respect thereto). Participant understands and agrees that Participant should consult with Participant’s own tax, legal and financial advisors regarding participation in the Plan before taking any action related to the Plan.</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Binding Agreement.</w:t>
      </w:r>
      <w:r>
        <w:rPr>
          <w:rFonts w:ascii="Times New Roman" w:hAnsi="Times New Roman"/>
          <w:color w:val="000000"/>
          <w:sz w:val="20"/>
        </w:rPr>
        <w:t xml:space="preserve"> </w:t>
      </w:r>
      <w:r>
        <w:rPr>
          <w:rFonts w:ascii="Times New Roman" w:hAnsi="Times New Roman"/>
          <w:b w:val="false"/>
          <w:color w:val="000000"/>
          <w:sz w:val="22"/>
        </w:rPr>
        <w:t>Subject to the limitation on the transferability of the RSUs contained herein, this Agreement will be binding upon and inure to the benefit of the heirs, legatees, legal representatives, successors and assigns of the parties hereto.</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Adjustments Upon Specified Events.</w:t>
      </w:r>
      <w:r>
        <w:rPr>
          <w:rFonts w:ascii="Times New Roman" w:hAnsi="Times New Roman"/>
          <w:color w:val="000000"/>
          <w:sz w:val="20"/>
        </w:rPr>
        <w:t xml:space="preserve"> </w:t>
      </w:r>
      <w:r>
        <w:rPr>
          <w:rFonts w:ascii="Times New Roman" w:hAnsi="Times New Roman"/>
          <w:b w:val="false"/>
          <w:color w:val="000000"/>
          <w:sz w:val="22"/>
        </w:rPr>
        <w:t>The Administrator may accelerate the vesting of the RSUs in such circumstances as it, in its sole discretion, may determine. Participant acknowledges that the RSUs are subject to adjustment, modification and termination in certain events as provided in this Agreement and Article IX of the Plan.</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Notices.</w:t>
      </w:r>
      <w:r>
        <w:rPr>
          <w:rFonts w:ascii="Times New Roman" w:hAnsi="Times New Roman"/>
          <w:color w:val="000000"/>
          <w:sz w:val="20"/>
        </w:rPr>
        <w:t xml:space="preserve"> </w:t>
      </w:r>
      <w:r>
        <w:rPr>
          <w:rFonts w:ascii="Times New Roman" w:hAnsi="Times New Roman"/>
          <w:b w:val="false"/>
          <w:color w:val="000000"/>
          <w:sz w:val="22"/>
        </w:rPr>
        <w:t>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3.7,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comparable non-U.S. postal service.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Participant’s Representations.</w:t>
      </w:r>
      <w:r>
        <w:rPr>
          <w:rFonts w:ascii="Times New Roman" w:hAnsi="Times New Roman"/>
          <w:color w:val="000000"/>
          <w:sz w:val="20"/>
        </w:rPr>
        <w:t xml:space="preserve"> </w:t>
      </w:r>
      <w:r>
        <w:rPr>
          <w:rFonts w:ascii="Times New Roman" w:hAnsi="Times New Roman"/>
          <w:b w:val="false"/>
          <w:color w:val="000000"/>
          <w:sz w:val="22"/>
        </w:rPr>
        <w:t>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pStyle w:val="TextBody"/>
        <w:bidi w:val="0"/>
        <w:jc w:val="center"/>
        <w:rPr>
          <w:rFonts w:ascii="Times New Roman" w:hAnsi="Times New Roman"/>
          <w:color w:val="000000"/>
          <w:sz w:val="22"/>
        </w:rPr>
      </w:pPr>
      <w:r>
        <w:rPr>
          <w:rFonts w:ascii="Times New Roman" w:hAnsi="Times New Roman"/>
          <w:color w:val="000000"/>
          <w:sz w:val="22"/>
        </w:rPr>
        <w:t>A-5</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Titles.</w:t>
      </w:r>
      <w:r>
        <w:rPr>
          <w:rFonts w:ascii="Times New Roman" w:hAnsi="Times New Roman"/>
          <w:color w:val="000000"/>
          <w:sz w:val="20"/>
        </w:rPr>
        <w:t xml:space="preserve"> </w:t>
      </w:r>
      <w:r>
        <w:rPr>
          <w:rFonts w:ascii="Times New Roman" w:hAnsi="Times New Roman"/>
          <w:b w:val="false"/>
          <w:color w:val="000000"/>
          <w:sz w:val="22"/>
        </w:rPr>
        <w:t>Titles are provided herein for convenience only and are not to serve as a basis for interpretation or construction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Governing Law and Venue.</w:t>
      </w:r>
      <w:r>
        <w:rPr>
          <w:rFonts w:ascii="Times New Roman" w:hAnsi="Times New Roman"/>
          <w:color w:val="000000"/>
          <w:sz w:val="20"/>
        </w:rPr>
        <w:t xml:space="preserve"> </w:t>
      </w:r>
      <w:r>
        <w:rPr>
          <w:rFonts w:ascii="Times New Roman" w:hAnsi="Times New Roman"/>
          <w:b w:val="false"/>
          <w:color w:val="000000"/>
          <w:sz w:val="22"/>
        </w:rPr>
        <w:t>The laws of the State of Delaware shall govern the interpretation, validity, administration, enforcement and performance of the terms of this Agreement regardless of the law that might be applied under principles of conflicts of laws. For purposes of any action, lawsuit or other proceedings brought to enforce this Agreement, relating to it, or arising from it, the parties hereby submit to and consent to the sole and exclusive jurisdiction of the courts of San Francisco, California, or the federal courts for the United States for the Northern District of California, and no other courts, where this grant is made and/or to be performed.</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Conformity to Applicable Law.</w:t>
      </w:r>
      <w:r>
        <w:rPr>
          <w:rFonts w:ascii="Times New Roman" w:hAnsi="Times New Roman"/>
          <w:color w:val="000000"/>
          <w:sz w:val="20"/>
        </w:rPr>
        <w:t xml:space="preserve"> </w:t>
      </w:r>
      <w:r>
        <w:rPr>
          <w:rFonts w:ascii="Times New Roman" w:hAnsi="Times New Roman"/>
          <w:b w:val="false"/>
          <w:color w:val="000000"/>
          <w:sz w:val="22"/>
        </w:rPr>
        <w:t>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Amendment, Suspension and Termination.</w:t>
      </w:r>
      <w:r>
        <w:rPr>
          <w:rFonts w:ascii="Times New Roman" w:hAnsi="Times New Roman"/>
          <w:color w:val="000000"/>
          <w:sz w:val="20"/>
        </w:rPr>
        <w:t xml:space="preserve"> </w:t>
      </w:r>
      <w:r>
        <w:rPr>
          <w:rFonts w:ascii="Times New Roman" w:hAnsi="Times New Roman"/>
          <w:b w:val="false"/>
          <w:color w:val="000000"/>
          <w:sz w:val="22"/>
        </w:rPr>
        <w:t xml:space="preserve">To the extent permitted by the Plan, this Agreement may be wholly or partially amended or otherwise modified, suspended or terminated at any time or from time to time by the Administrator or the Board; </w:t>
      </w:r>
      <w:r>
        <w:rPr>
          <w:rFonts w:ascii="Times New Roman" w:hAnsi="Times New Roman"/>
          <w:b w:val="false"/>
          <w:i/>
          <w:color w:val="000000"/>
          <w:sz w:val="22"/>
        </w:rPr>
        <w:t>provided, however,</w:t>
      </w:r>
      <w:r>
        <w:rPr>
          <w:rFonts w:ascii="Times New Roman" w:hAnsi="Times New Roman"/>
          <w:color w:val="000000"/>
          <w:sz w:val="20"/>
        </w:rPr>
        <w:t xml:space="preserve"> </w:t>
      </w:r>
      <w:r>
        <w:rPr>
          <w:rFonts w:ascii="Times New Roman" w:hAnsi="Times New Roman"/>
          <w:b w:val="false"/>
          <w:color w:val="000000"/>
          <w:sz w:val="22"/>
        </w:rPr>
        <w:t>that, except as may otherwise be provided by the Plan, no amendment, modification, suspension or termination of this Agreement shall adversely affect the RSUs in any material way without the prior written consent of Participant, unless such action is necessary to ensure or facilitate compliance with Applicable Law, as determined by the Administrator.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Successors and Assigns.</w:t>
      </w:r>
      <w:r>
        <w:rPr>
          <w:rFonts w:ascii="Times New Roman" w:hAnsi="Times New Roman"/>
          <w:color w:val="000000"/>
          <w:sz w:val="20"/>
        </w:rPr>
        <w:t xml:space="preserve"> </w:t>
      </w:r>
      <w:r>
        <w:rPr>
          <w:rFonts w:ascii="Times New Roman" w:hAnsi="Times New Roman"/>
          <w:b w:val="false"/>
          <w:color w:val="000000"/>
          <w:sz w:val="22"/>
        </w:rPr>
        <w:t>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3.3 hereof, this Agreement shall be binding upon Participant and his or her heirs, executors, administrators, successors and assigns.</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Limitations Applicable to Section 16 Persons.</w:t>
      </w:r>
      <w:r>
        <w:rPr>
          <w:rFonts w:ascii="Times New Roman" w:hAnsi="Times New Roman"/>
          <w:color w:val="000000"/>
          <w:sz w:val="20"/>
        </w:rPr>
        <w:t xml:space="preserve"> </w:t>
      </w:r>
      <w:r>
        <w:rPr>
          <w:rFonts w:ascii="Times New Roman" w:hAnsi="Times New Roman"/>
          <w:b w:val="false"/>
          <w:color w:val="000000"/>
          <w:sz w:val="22"/>
        </w:rPr>
        <w:t>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Not a Contract of Service Relationship.</w:t>
      </w:r>
      <w:r>
        <w:rPr>
          <w:rFonts w:ascii="Times New Roman" w:hAnsi="Times New Roman"/>
          <w:color w:val="000000"/>
          <w:sz w:val="20"/>
        </w:rPr>
        <w:t xml:space="preserve"> </w:t>
      </w:r>
      <w:r>
        <w:rPr>
          <w:rFonts w:ascii="Times New Roman" w:hAnsi="Times New Roman"/>
          <w:b w:val="false"/>
          <w:color w:val="000000"/>
          <w:sz w:val="22"/>
        </w:rPr>
        <w:t>Nothing in this Agreement or in the Plan shall confer upon Participant any right to commence or continue to serve as an Employee or other Service Provider or shall interfere with or restrict in any way the rights of the Service Recipient, which rights are hereby expressly reserved, to discharge or terminate the services of Participant at any time for any reason whatsoever, with or without cause, except to the extent expressly provided otherwise by Applicable Law or in a written agreement between the Service Recipient and Participant.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Entire Agreement.</w:t>
      </w:r>
      <w:r>
        <w:rPr>
          <w:rFonts w:ascii="Times New Roman" w:hAnsi="Times New Roman"/>
          <w:color w:val="000000"/>
          <w:sz w:val="20"/>
        </w:rPr>
        <w:t xml:space="preserve"> </w:t>
      </w:r>
      <w:r>
        <w:rPr>
          <w:rFonts w:ascii="Times New Roman" w:hAnsi="Times New Roman"/>
          <w:b w:val="false"/>
          <w:color w:val="000000"/>
          <w:sz w:val="22"/>
        </w:rPr>
        <w:t>The Plan, the Grant Notice and this Agreement (including all Exhibits thereto, if any) constitute the entire agreement of the parties and supersede in their entirety all prior undertakings and agreements of the Company and Participant with respect to the subject matter hereof, provided that the RSUs shall be subject to any accelerated vesting provisions in any written agreement between Participant and the Company or a Company plan pursuant to which Participant participates, in each case, in accordance with the terms therein.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A-6</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Section 409A.</w:t>
      </w:r>
      <w:r>
        <w:rPr>
          <w:rFonts w:ascii="Times New Roman" w:hAnsi="Times New Roman"/>
          <w:color w:val="000000"/>
          <w:sz w:val="20"/>
        </w:rPr>
        <w:t xml:space="preserve"> </w:t>
      </w:r>
      <w:r>
        <w:rPr>
          <w:rFonts w:ascii="Times New Roman" w:hAnsi="Times New Roman"/>
          <w:b w:val="false"/>
          <w:color w:val="000000"/>
          <w:sz w:val="22"/>
        </w:rPr>
        <w:t>This Award is not intended to constitute “nonqualified deferred compensation” within the meaning of Section 409A of the Code (together with any U.S. Department of Treasury regulations and other interpretive guidance issued thereunder, including without limitation any such regulations or other guidance that may be issued after the date hereof, “</w:t>
      </w:r>
      <w:r>
        <w:rPr>
          <w:rFonts w:ascii="Times New Roman" w:hAnsi="Times New Roman"/>
          <w:i/>
          <w:color w:val="000000"/>
          <w:sz w:val="22"/>
        </w:rPr>
        <w:t>Section 409A</w:t>
      </w:r>
      <w:r>
        <w:rPr>
          <w:rFonts w:ascii="Times New Roman" w:hAnsi="Times New Roman"/>
          <w:color w:val="000000"/>
          <w:sz w:val="20"/>
        </w:rPr>
        <w:t>”</w:t>
      </w:r>
      <w:r>
        <w:rPr>
          <w:rFonts w:ascii="Times New Roman" w:hAnsi="Times New Roman"/>
          <w:b w:val="false"/>
          <w:color w:val="000000"/>
          <w:sz w:val="22"/>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Limitation on Participant’s Rights.</w:t>
      </w:r>
      <w:r>
        <w:rPr>
          <w:rFonts w:ascii="Times New Roman" w:hAnsi="Times New Roman"/>
          <w:color w:val="000000"/>
          <w:sz w:val="20"/>
        </w:rPr>
        <w:t xml:space="preserve"> </w:t>
      </w:r>
      <w:r>
        <w:rPr>
          <w:rFonts w:ascii="Times New Roman" w:hAnsi="Times New Roman"/>
          <w:b w:val="false"/>
          <w:color w:val="000000"/>
          <w:sz w:val="22"/>
        </w:rPr>
        <w:t>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Electronic Delivery and Participation.</w:t>
      </w:r>
      <w:r>
        <w:rPr>
          <w:rFonts w:ascii="Times New Roman" w:hAnsi="Times New Roman"/>
          <w:color w:val="000000"/>
          <w:sz w:val="20"/>
        </w:rPr>
        <w:t xml:space="preserve"> </w:t>
      </w:r>
      <w:r>
        <w:rPr>
          <w:rFonts w:ascii="Times New Roman" w:hAnsi="Times New Roman"/>
          <w:b w:val="false"/>
          <w:color w:val="000000"/>
          <w:sz w:val="22"/>
        </w:rPr>
        <w:t>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pStyle w:val="Heading2"/>
        <w:bidi w:val="0"/>
        <w:spacing w:before="0" w:after="240"/>
        <w:jc w:val="both"/>
        <w:rPr>
          <w:rFonts w:ascii="Times New Roman" w:hAnsi="Times New Roman"/>
          <w:sz w:val="20"/>
        </w:rPr>
      </w:pPr>
      <w:r>
        <w:rPr>
          <w:rFonts w:ascii="Times New Roman" w:hAnsi="Times New Roman"/>
          <w:i/>
          <w:color w:val="000000"/>
          <w:sz w:val="22"/>
          <w:u w:val="single"/>
        </w:rPr>
        <w:t>Data Privacy.</w:t>
      </w:r>
      <w:r>
        <w:rPr>
          <w:rFonts w:ascii="Times New Roman" w:hAnsi="Times New Roman"/>
          <w:color w:val="000000"/>
          <w:sz w:val="20"/>
        </w:rPr>
        <w:t xml:space="preserve"> </w:t>
      </w:r>
      <w:r>
        <w:rPr>
          <w:rFonts w:ascii="Times New Roman" w:hAnsi="Times New Roman"/>
          <w:i/>
          <w:color w:val="000000"/>
          <w:sz w:val="22"/>
        </w:rPr>
        <w:t>Further to Section 11.8 of the Plan, in order to participate in the Plan, Participant agrees to the processing and transfer of Personal Data (as defined below) as described below and declares Participant’s consent.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i/>
          <w:color w:val="000000"/>
          <w:sz w:val="22"/>
        </w:rPr>
        <w:t xml:space="preserve">(a) </w:t>
      </w:r>
      <w:r>
        <w:rPr>
          <w:rFonts w:ascii="Times New Roman" w:hAnsi="Times New Roman"/>
          <w:b/>
          <w:color w:val="000000"/>
          <w:sz w:val="22"/>
          <w:u w:val="single"/>
        </w:rPr>
        <w:t>Data Collection and Usage</w:t>
      </w:r>
      <w:r>
        <w:rPr>
          <w:rFonts w:ascii="Times New Roman" w:hAnsi="Times New Roman"/>
          <w:b/>
          <w:color w:val="000000"/>
          <w:sz w:val="22"/>
        </w:rPr>
        <w:t xml:space="preserve">. </w:t>
      </w:r>
      <w:r>
        <w:rPr>
          <w:rFonts w:ascii="Times New Roman" w:hAnsi="Times New Roman"/>
          <w:b/>
          <w:i/>
          <w:color w:val="000000"/>
          <w:sz w:val="22"/>
        </w:rPr>
        <w:t>The Company and the Employer collect, process and use certain personal information about Participant, including, but not limited to, Participant’s name, home address, telephone number, email address, date of birth, social insurance number, passport or other identification number, salary, nationality, job title, any Shares or directorships held in the Company</w:t>
      </w:r>
      <w:r>
        <w:rPr>
          <w:rFonts w:ascii="Times New Roman" w:hAnsi="Times New Roman"/>
          <w:color w:val="000000"/>
          <w:sz w:val="20"/>
        </w:rPr>
        <w:t xml:space="preserve"> </w:t>
      </w:r>
      <w:r>
        <w:rPr>
          <w:rFonts w:ascii="Times New Roman" w:hAnsi="Times New Roman"/>
          <w:b/>
          <w:i/>
          <w:color w:val="000000"/>
          <w:sz w:val="22"/>
        </w:rPr>
        <w:t>or</w:t>
      </w:r>
      <w:r>
        <w:rPr>
          <w:rFonts w:ascii="Times New Roman" w:hAnsi="Times New Roman"/>
          <w:color w:val="000000"/>
          <w:sz w:val="20"/>
        </w:rPr>
        <w:t xml:space="preserve"> </w:t>
      </w:r>
      <w:r>
        <w:rPr>
          <w:rFonts w:ascii="Times New Roman" w:hAnsi="Times New Roman"/>
          <w:b/>
          <w:i/>
          <w:color w:val="000000"/>
          <w:sz w:val="22"/>
        </w:rPr>
        <w:t>any Parent or Subsidiary, details of all awards granted under the Plan or any other entitlement to Shares awarded, canceled, exercised, vested, unvested or outstanding in Participant’s favor (“Personal Data”), for the purposes of implementing, administering and managing the Plan. The legal basis, where required, for the processing of Personal Data is Participant’s consent.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2"/>
        </w:rPr>
        <w:t xml:space="preserve">(b) </w:t>
      </w:r>
      <w:r>
        <w:rPr>
          <w:rFonts w:ascii="Times New Roman" w:hAnsi="Times New Roman"/>
          <w:b/>
          <w:color w:val="000000"/>
          <w:sz w:val="22"/>
          <w:u w:val="single"/>
        </w:rPr>
        <w:t>Stock Plan Administration Service Provider</w:t>
      </w:r>
      <w:r>
        <w:rPr>
          <w:rFonts w:ascii="Times New Roman" w:hAnsi="Times New Roman"/>
          <w:b/>
          <w:color w:val="000000"/>
          <w:sz w:val="22"/>
        </w:rPr>
        <w:t xml:space="preserve">. </w:t>
      </w:r>
      <w:r>
        <w:rPr>
          <w:rFonts w:ascii="Times New Roman" w:hAnsi="Times New Roman"/>
          <w:b/>
          <w:i/>
          <w:color w:val="000000"/>
          <w:sz w:val="22"/>
        </w:rPr>
        <w:t>The Company transfers Personal Data to E*TRADE Securities LLC and its affiliated companies, an independent service provider based in the United States, which is assisting the Company with the implementation, administration and management of the Plan. The Company may select a different service provider or additional service providers and share Personal Data with such other provider serving in a similar manner. Participant may be asked to agree on separate terms and data processing practices with the service provider, with such agreement being a condition to the ability to participate in the Plan.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2"/>
        </w:rPr>
        <w:t xml:space="preserve">(c) </w:t>
      </w:r>
      <w:r>
        <w:rPr>
          <w:rFonts w:ascii="Times New Roman" w:hAnsi="Times New Roman"/>
          <w:b/>
          <w:color w:val="000000"/>
          <w:sz w:val="22"/>
          <w:u w:val="single"/>
        </w:rPr>
        <w:t>International Data Transfer</w:t>
      </w:r>
      <w:r>
        <w:rPr>
          <w:rFonts w:ascii="Times New Roman" w:hAnsi="Times New Roman"/>
          <w:b/>
          <w:color w:val="000000"/>
          <w:sz w:val="22"/>
        </w:rPr>
        <w:t xml:space="preserve">. </w:t>
      </w:r>
      <w:r>
        <w:rPr>
          <w:rFonts w:ascii="Times New Roman" w:hAnsi="Times New Roman"/>
          <w:b/>
          <w:i/>
          <w:color w:val="000000"/>
          <w:sz w:val="22"/>
        </w:rPr>
        <w:t>The Company and some of its service providers are based in the United States. Participant’s country or jurisdiction may have different data privacy laws and protections than the United States. The Company’s legal basis for the transfer of Personal Data, where required, is Participant’s consent.</w:t>
      </w:r>
    </w:p>
    <w:p>
      <w:pPr>
        <w:pStyle w:val="TextBody"/>
        <w:bidi w:val="0"/>
        <w:jc w:val="center"/>
        <w:rPr>
          <w:rFonts w:ascii="Times New Roman" w:hAnsi="Times New Roman"/>
          <w:color w:val="000000"/>
          <w:sz w:val="22"/>
        </w:rPr>
      </w:pPr>
      <w:r>
        <w:rPr>
          <w:rFonts w:ascii="Times New Roman" w:hAnsi="Times New Roman"/>
          <w:color w:val="000000"/>
          <w:sz w:val="22"/>
        </w:rPr>
        <w:t>A-7</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2"/>
        </w:rPr>
        <w:t xml:space="preserve">(d) </w:t>
      </w:r>
      <w:r>
        <w:rPr>
          <w:rFonts w:ascii="Times New Roman" w:hAnsi="Times New Roman"/>
          <w:b/>
          <w:color w:val="000000"/>
          <w:sz w:val="22"/>
          <w:u w:val="single"/>
        </w:rPr>
        <w:t>Data Retention</w:t>
      </w:r>
      <w:r>
        <w:rPr>
          <w:rFonts w:ascii="Times New Roman" w:hAnsi="Times New Roman"/>
          <w:b/>
          <w:color w:val="000000"/>
          <w:sz w:val="22"/>
        </w:rPr>
        <w:t xml:space="preserve">. </w:t>
      </w:r>
      <w:r>
        <w:rPr>
          <w:rFonts w:ascii="Times New Roman" w:hAnsi="Times New Roman"/>
          <w:b/>
          <w:i/>
          <w:color w:val="000000"/>
          <w:sz w:val="22"/>
        </w:rPr>
        <w:t>The Company will hold and use Personal Data only as long as is necessary to implement, administer and manage Participant’s participation in the Plan, or as required to comply with legal or regulatory obligations, including under tax and security laws. When the Company no longer needs Personal Data, the Company will remove it from its systems. If the Company keeps Personal Data longer, it would be to satisfy legal or regulatory obligations and the Company’s legal basis would be Participant’s consent.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2"/>
        </w:rPr>
        <w:t xml:space="preserve">(d) </w:t>
      </w:r>
      <w:r>
        <w:rPr>
          <w:rFonts w:ascii="Times New Roman" w:hAnsi="Times New Roman"/>
          <w:b/>
          <w:color w:val="000000"/>
          <w:sz w:val="22"/>
          <w:u w:val="single"/>
        </w:rPr>
        <w:t>Voluntariness and Consequences of Consent Denial or Withdrawal</w:t>
      </w:r>
      <w:r>
        <w:rPr>
          <w:rFonts w:ascii="Times New Roman" w:hAnsi="Times New Roman"/>
          <w:b/>
          <w:color w:val="000000"/>
          <w:sz w:val="22"/>
        </w:rPr>
        <w:t xml:space="preserve">. </w:t>
      </w:r>
      <w:r>
        <w:rPr>
          <w:rFonts w:ascii="Times New Roman" w:hAnsi="Times New Roman"/>
          <w:b/>
          <w:i/>
          <w:color w:val="000000"/>
          <w:sz w:val="22"/>
        </w:rPr>
        <w:t>Participation in the Plan is voluntary and Participant is providing the consents herein on a purely voluntary basis. If Participant does not consent, or if Participant later seeks to revoke the consent, Participant’s salary from or employment with the Employer will not be affected; the only consequence of refusing or withdrawing consent is that the Company would not be able to grant Participant RSUs under the Plan or other Awards or administer or maintain such Awards.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2"/>
        </w:rPr>
        <w:t xml:space="preserve">(e) </w:t>
      </w:r>
      <w:r>
        <w:rPr>
          <w:rFonts w:ascii="Times New Roman" w:hAnsi="Times New Roman"/>
          <w:b/>
          <w:color w:val="000000"/>
          <w:sz w:val="22"/>
          <w:u w:val="single"/>
        </w:rPr>
        <w:t>Data Subject Rights</w:t>
      </w:r>
      <w:r>
        <w:rPr>
          <w:rFonts w:ascii="Times New Roman" w:hAnsi="Times New Roman"/>
          <w:b/>
          <w:color w:val="000000"/>
          <w:sz w:val="22"/>
        </w:rPr>
        <w:t xml:space="preserve">. </w:t>
      </w:r>
      <w:r>
        <w:rPr>
          <w:rFonts w:ascii="Times New Roman" w:hAnsi="Times New Roman"/>
          <w:b/>
          <w:i/>
          <w:color w:val="000000"/>
          <w:sz w:val="22"/>
        </w:rPr>
        <w:t>Participant may have a number of rights under data privacy laws in his or her jurisdiction. Subject to the conditions set out in Applicable Law and depending on where Participant is based, such rights may include the right to (i) request access to or copies of Personal Data, (ii) rectify incorrect Personal Data, (iii) delete Personal Data, (iv) restrict the processing of Personal Data, (v) restrict the portability of Personal Data, (vi) lodge complaints with competent authorities, and/or (vii) receive a list with the names and addresses of any potential recipients of Personal Data. To receive clarification regarding these rights or to exercise these rights, Participant can contact his or her local human resources representative.</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Waiver.</w:t>
      </w:r>
      <w:r>
        <w:rPr>
          <w:rFonts w:ascii="Times New Roman" w:hAnsi="Times New Roman"/>
          <w:color w:val="000000"/>
          <w:sz w:val="20"/>
        </w:rPr>
        <w:t xml:space="preserve"> </w:t>
      </w:r>
      <w:r>
        <w:rPr>
          <w:rFonts w:ascii="Times New Roman" w:hAnsi="Times New Roman"/>
          <w:b w:val="false"/>
          <w:color w:val="000000"/>
          <w:sz w:val="22"/>
        </w:rPr>
        <w:t>Participant acknowledges that a waiver by the Company of breach of any provision of this Agreement shall not operate or be construed as a waiver of any other provision of this Agreement, or of any subsequent breach by Participant or any other participant.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Language.</w:t>
      </w:r>
      <w:r>
        <w:rPr>
          <w:rFonts w:ascii="Times New Roman" w:hAnsi="Times New Roman"/>
          <w:color w:val="000000"/>
          <w:sz w:val="20"/>
        </w:rPr>
        <w:t xml:space="preserve"> </w:t>
      </w:r>
      <w:r>
        <w:rPr>
          <w:rFonts w:ascii="Times New Roman" w:hAnsi="Times New Roman"/>
          <w:b w:val="false"/>
          <w:color w:val="000000"/>
          <w:sz w:val="22"/>
        </w:rPr>
        <w:t>Participant acknowledges that Participant is sufficiently proficient in English, or has consulted with an advisor who is sufficiently proficient in English, so as to allow Participant to understand the terms and conditions of this Agreement. If Participant received this Agreement, or any other document related to the RSUs and/or the Plan translated into a language other than English and if the meaning of the translated version is different than the English version, the English version will control, unless otherwise required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Appendix.</w:t>
      </w:r>
      <w:r>
        <w:rPr>
          <w:rFonts w:ascii="Times New Roman" w:hAnsi="Times New Roman"/>
          <w:color w:val="000000"/>
          <w:sz w:val="20"/>
        </w:rPr>
        <w:t xml:space="preserve"> </w:t>
      </w:r>
      <w:r>
        <w:rPr>
          <w:rFonts w:ascii="Times New Roman" w:hAnsi="Times New Roman"/>
          <w:b w:val="false"/>
          <w:color w:val="000000"/>
          <w:sz w:val="22"/>
        </w:rPr>
        <w:t>Notwithstanding any provisions in this Global Restricted Stock Unit Award Agreement, the RSUs shall be subject to any additional terms and conditions set forth in any Appendix to this Global Restricted Stock Unit Award Agreement for Participant’s country. Moreover, if Participant relocates to one of the countries included in the Appendix, the additional terms and conditions for such country will apply to Participant, to the extent the Company determines that the application of such terms and conditions is necessary or advisable for legal or administrative reasons. The Appendix constitutes part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Insider Trading/Market Abuse Laws.</w:t>
      </w:r>
      <w:r>
        <w:rPr>
          <w:rFonts w:ascii="Times New Roman" w:hAnsi="Times New Roman"/>
          <w:color w:val="000000"/>
          <w:sz w:val="20"/>
        </w:rPr>
        <w:t xml:space="preserve"> </w:t>
      </w:r>
      <w:r>
        <w:rPr>
          <w:rFonts w:ascii="Times New Roman" w:hAnsi="Times New Roman"/>
          <w:b w:val="false"/>
          <w:color w:val="000000"/>
          <w:sz w:val="22"/>
        </w:rPr>
        <w:t>Participant acknowledges that Participant may be subject to insider trading restrictions and/or market abuse laws in applicable jurisdictions, which may affect Participant’s ability to accept, acquire, sell or attempt to sell, or otherwise dispose of the Shares, rights to Shares (e.g., the RSUs) or rights linked to the value of Shares, during such times as Participant is considered to have “inside information” regarding the Company (as defined by the laws or regulations in applicable jurisdictions). Local insider trading laws and regulations may prohibit the cancellation or amendment of orders Participant placed before possessing inside information. Furthermore, Participant may be prohibited from (i) disclosing insider information to any third party, including fellow employees (other than on a “need to know” basis) and (ii) “tipping” third parties or causing them to otherwise buy or sell securities.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A-8</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restrictions under these laws or regulations are separate from and in addition to any restrictions that may be imposed under any applicable Company insider trading policy. Participant acknowledges that it is his or her responsibility to comply with any applicable restrictions, and Participant should speak to his or her personal advisor on this matter.</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Foreign Asset/Account, Exchange Control and Tax Reporting.</w:t>
      </w:r>
      <w:r>
        <w:rPr>
          <w:rFonts w:ascii="Times New Roman" w:hAnsi="Times New Roman"/>
          <w:color w:val="000000"/>
          <w:sz w:val="20"/>
        </w:rPr>
        <w:t xml:space="preserve"> </w:t>
      </w:r>
      <w:r>
        <w:rPr>
          <w:rFonts w:ascii="Times New Roman" w:hAnsi="Times New Roman"/>
          <w:b w:val="false"/>
          <w:color w:val="000000"/>
          <w:sz w:val="22"/>
        </w:rPr>
        <w:t>Participant acknowledges that Participant may be subject to foreign asset/account, exchange control and/or tax reporting requirements as a result of the acquisition, holding and/or transfer of Shares or cash (including dividends and the proceeds arising from the sale of Shares) derived from Participant’s participation in the Plan in, to and/or from a brokerage/bank account or legal entity located outside Participant’s country. Applicable Law may require that Participant report such accounts, assets, the balances therein, the value thereof and/or the transactions related thereto to the applicable authorities in such country. Participant also may be required to repatriate sale proceeds or other funds received as a result of Participant’s participation in the Plan to his or her country through a designated bank or broker within a certain time after receipt. Participant acknowledges that Participant is responsible for ensuring compliance with any applicable foreign asset/account, exchange control and tax reporting requirements and should consult Participant’s personal legal advisor on this matter.</w:t>
      </w:r>
    </w:p>
    <w:p>
      <w:pPr>
        <w:pStyle w:val="Heading2"/>
        <w:bidi w:val="0"/>
        <w:spacing w:before="0" w:after="240"/>
        <w:jc w:val="center"/>
        <w:rPr>
          <w:rFonts w:ascii="Times New Roman" w:hAnsi="Times New Roman"/>
          <w:b w:val="false"/>
          <w:color w:val="000000"/>
          <w:sz w:val="24"/>
          <w:u w:val="single"/>
        </w:rPr>
      </w:pPr>
      <w:r>
        <w:rPr>
          <w:rFonts w:ascii="Times New Roman" w:hAnsi="Times New Roman"/>
          <w:b w:val="false"/>
          <w:color w:val="000000"/>
          <w:sz w:val="24"/>
          <w:u w:val="single"/>
        </w:rPr>
        <w:t>* * * * *</w:t>
      </w:r>
    </w:p>
    <w:p>
      <w:pPr>
        <w:pStyle w:val="TextBody"/>
        <w:bidi w:val="0"/>
        <w:jc w:val="center"/>
        <w:rPr>
          <w:rFonts w:ascii="Times New Roman" w:hAnsi="Times New Roman"/>
          <w:color w:val="000000"/>
          <w:sz w:val="22"/>
        </w:rPr>
      </w:pPr>
      <w:r>
        <w:rPr>
          <w:rFonts w:ascii="Times New Roman" w:hAnsi="Times New Roman"/>
          <w:color w:val="000000"/>
          <w:sz w:val="22"/>
        </w:rPr>
        <w:t>A-9</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APPENDIX</w:t>
      </w:r>
    </w:p>
    <w:p>
      <w:pPr>
        <w:pStyle w:val="TextBody"/>
        <w:bidi w:val="0"/>
        <w:jc w:val="center"/>
        <w:rPr>
          <w:rFonts w:ascii="Times New Roman" w:hAnsi="Times New Roman"/>
          <w:sz w:val="20"/>
        </w:rPr>
      </w:pPr>
      <w:r>
        <w:rPr>
          <w:rFonts w:ascii="Times New Roman" w:hAnsi="Times New Roman"/>
          <w:b/>
          <w:color w:val="000000"/>
          <w:sz w:val="22"/>
        </w:rPr>
        <w:t>TO</w:t>
        <w:br/>
        <w:t>SERVICETITAN, INC.</w:t>
        <w:br/>
        <w:t>2024 INCENTIVE AWARD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GLOBAL RESTRICTED STOCK UNIT AWARD AGREEMENT</w:t>
      </w:r>
    </w:p>
    <w:p>
      <w:pPr>
        <w:pStyle w:val="TextBody"/>
        <w:bidi w:val="0"/>
        <w:jc w:val="both"/>
        <w:rPr>
          <w:rFonts w:ascii="Times New Roman" w:hAnsi="Times New Roman"/>
          <w:sz w:val="20"/>
        </w:rPr>
      </w:pPr>
      <w:r>
        <w:rPr>
          <w:rFonts w:ascii="Times New Roman" w:hAnsi="Times New Roman"/>
          <w:color w:val="000000"/>
          <w:sz w:val="22"/>
        </w:rPr>
        <w:t>Capitalized terms used but not defined herein shall have the meanings ascribed to them in the Grant Notice, the Global Restricted Stock Unit Award Agreement (the “</w:t>
      </w:r>
      <w:r>
        <w:rPr>
          <w:rFonts w:ascii="Times New Roman" w:hAnsi="Times New Roman"/>
          <w:b/>
          <w:i/>
          <w:color w:val="000000"/>
          <w:sz w:val="22"/>
        </w:rPr>
        <w:t>Award Agreement</w:t>
      </w:r>
      <w:r>
        <w:rPr>
          <w:rFonts w:ascii="Times New Roman" w:hAnsi="Times New Roman"/>
          <w:color w:val="000000"/>
          <w:sz w:val="20"/>
        </w:rPr>
        <w:t>”</w:t>
      </w:r>
      <w:r>
        <w:rPr>
          <w:rFonts w:ascii="Times New Roman" w:hAnsi="Times New Roman"/>
          <w:color w:val="000000"/>
          <w:sz w:val="22"/>
        </w:rPr>
        <w:t>) and the Plan.</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Appendix includes additional terms and conditions that govern the RSUs if Participant resides and/or works in one of the countries listed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Participant is a citizen or resident (or is considered as such for local law purposes) of a country other than the country in which Participant is currently residing and/or working, or if Participant transfers to another country after the Grant Date, the Administrator shall, in its discretion, determine to what extent the terms and conditions contained herein shall be applicable to Participant.</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Notifications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Appendix also includes information regarding securities, exchange controls, tax and certain other issues of which Participant should be aware with respect to his or her participation in the Plan. The information is based on the securities, exchange control, tax and other laws in effect in the respective countries as of September 2024. Such laws are often complex and change frequently. As a result, the Company strongly recommends that Participant not rely on the information noted herein as the only source of information relating to the consequences of his or her participation in the Plan because the information may be out of date at the time the RSUs vest or Participant sells Shares acquired under the Plan.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addition, the information contained herein is general in nature and may not apply to Participant’s particular situation, and the Company is not in a position to assure Participant of any particular result. Accordingly, Participant should seek appropriate professional advice as to how the relevant laws in his or her country may apply to Participant’s situation.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If Participant is a citizen or resident (or is considered as such for local law purposes) of a country other than the country in which Participant is currently residing and/or working, or if Participant transfers to another country after the Grant Date, the information contained herein may not be applicable to Participant in the same manner.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ARMENIA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country-specific provisions.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CANADA</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Settlement</w:t>
      </w:r>
      <w:r>
        <w:rPr>
          <w:rFonts w:ascii="Times New Roman" w:hAnsi="Times New Roman"/>
          <w:color w:val="000000"/>
          <w:sz w:val="22"/>
        </w:rPr>
        <w:t>. Notwithstanding any discretion in the Plan or anything to the contrary in the Award Agreement, this Award of RSUs shall only be settled in Shares.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Termination of Service</w:t>
      </w:r>
      <w:r>
        <w:rPr>
          <w:rFonts w:ascii="Times New Roman" w:hAnsi="Times New Roman"/>
          <w:color w:val="000000"/>
          <w:sz w:val="22"/>
        </w:rPr>
        <w:t>. The following provision replaces in its entirety the second paragraph of Section 2.4 of the Award Agreement:</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the RSUs, Participant’s Termination of Service is deemed to occur (regardless of the reason for the termination and whether or not later found to be invalid or in breach of Applicable Law in the jurisdiction where Participant is rendering services or the terms of Participant’s employment or other service agreement, if any) on the date (the “</w:t>
      </w:r>
      <w:r>
        <w:rPr>
          <w:rFonts w:ascii="Times New Roman" w:hAnsi="Times New Roman"/>
          <w:b/>
          <w:i/>
          <w:color w:val="000000"/>
          <w:sz w:val="22"/>
        </w:rPr>
        <w:t>Termination Date</w:t>
      </w:r>
      <w:r>
        <w:rPr>
          <w:rFonts w:ascii="Times New Roman" w:hAnsi="Times New Roman"/>
          <w:color w:val="000000"/>
          <w:sz w:val="20"/>
        </w:rPr>
        <w:t>”</w:t>
      </w:r>
      <w:r>
        <w:rPr>
          <w:rFonts w:ascii="Times New Roman" w:hAnsi="Times New Roman"/>
          <w:color w:val="000000"/>
          <w:sz w:val="22"/>
        </w:rPr>
        <w:t>) that is the earliest of (1) the termination date of Participant’s status as a Service Provider, (2) the date Participant receives written notice of termination of Participant’s status as a Service Provider, or (3) the date Participant is no longer actively employed by or actively providing services to the Company or any of its Subsidiaries regardless of any notice period or period of pay in lieu of such notice mandated under Applicable Law (including, but not limited to, statutory law, regulatory law and/or common law) in the jurisdiction where Participant is rendering service or the terms of Participant’s employment or other service agreement, if any. The Administrator shall have the exclusive discretion to determine when Participant is no longer actively providing services for purposes of the RSUs (including whether Participant may still be considered to be providing services while on a leave of absence) and, hence, the Termination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if applicable employment standards legislation explicitly requires continued participation in the Plan during a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The following provisions apply if Participant resides in Quebec:</w:t>
      </w:r>
    </w:p>
    <w:p>
      <w:pPr>
        <w:pStyle w:val="TextBody"/>
        <w:bidi w:val="0"/>
        <w:spacing w:before="0" w:after="240"/>
        <w:jc w:val="both"/>
        <w:rPr>
          <w:rFonts w:ascii="Times New Roman" w:hAnsi="Times New Roman"/>
          <w:sz w:val="20"/>
        </w:rPr>
      </w:pPr>
      <w:r>
        <w:rPr>
          <w:rFonts w:ascii="Times New Roman" w:hAnsi="Times New Roman"/>
          <w:color w:val="000000"/>
          <w:sz w:val="22"/>
          <w:u w:val="single"/>
        </w:rPr>
        <w:t>French Language Documents</w:t>
      </w:r>
      <w:r>
        <w:rPr>
          <w:rFonts w:ascii="Times New Roman" w:hAnsi="Times New Roman"/>
          <w:color w:val="000000"/>
          <w:sz w:val="22"/>
        </w:rPr>
        <w:t>. The following provision replaces Section 3.22 of the Award Agreement in its entirety:</w:t>
      </w:r>
    </w:p>
    <w:p>
      <w:pPr>
        <w:pStyle w:val="TextBody"/>
        <w:bidi w:val="0"/>
        <w:spacing w:before="0" w:after="240"/>
        <w:jc w:val="both"/>
        <w:rPr>
          <w:rFonts w:ascii="Times New Roman" w:hAnsi="Times New Roman"/>
          <w:sz w:val="20"/>
        </w:rPr>
      </w:pPr>
      <w:r>
        <w:rPr>
          <w:rFonts w:ascii="Times New Roman" w:hAnsi="Times New Roman"/>
          <w:color w:val="000000"/>
          <w:sz w:val="22"/>
        </w:rPr>
        <w:t>A French translation of the Award Agreement and certain other documents related to the RSUs can be made available to Participant upon request. Participant understands that, from time to time, additional information related to the Plan and the RSUs may be provided in English and such information may not be available in French. However, upon request, the Company can provide a translation of such information into French as soon as reasonably practicable.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Data Privacy</w:t>
      </w:r>
      <w:r>
        <w:rPr>
          <w:rFonts w:ascii="Times New Roman" w:hAnsi="Times New Roman"/>
          <w:color w:val="000000"/>
          <w:sz w:val="22"/>
        </w:rPr>
        <w:t>. The following provision supplements Section 3.20 of the Award Agreement and Section 11.8 of the Plan:</w:t>
      </w:r>
    </w:p>
    <w:p>
      <w:pPr>
        <w:pStyle w:val="TextBody"/>
        <w:bidi w:val="0"/>
        <w:spacing w:before="0" w:after="240"/>
        <w:jc w:val="both"/>
        <w:rPr>
          <w:rFonts w:ascii="Times New Roman" w:hAnsi="Times New Roman"/>
          <w:sz w:val="20"/>
        </w:rPr>
      </w:pPr>
      <w:r>
        <w:rPr>
          <w:rFonts w:ascii="Times New Roman" w:hAnsi="Times New Roman"/>
          <w:i/>
          <w:color w:val="000000"/>
          <w:sz w:val="22"/>
        </w:rPr>
        <w:t>Participant hereby authorizes the Company and the Company’s representatives to discuss and obtain all relevant information from all personnel, professional or non-professional, involved in the administration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and operation of the Plan. Participant acknowledges that Participant’s personal information, including any sensitive personal information, may be transferred or disclosed outside of the province of Quebec, including to the United States. Participant further authorizes the Company, the Service Recipient and/or any other Subsidiary, or other affiliate of the Company to disclose and discuss such information with their advisors. Participant also authorizes the Company, the Service Recipient and/or any other Subsidiary, or other affiliate of the Company to record such information and to keep such information in Participant’s employment file. If applicable, Participant also acknowledges that the Company, the Service Recipient and/or any Subsidiary, [insert stock broker], and other service providers designated by the Company may use technology for profiling purposes and make automated decisions that may have an impact on Participant’s participation in the Plan or the administration of the Plan.</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Securities Law Information</w:t>
      </w:r>
      <w:r>
        <w:rPr>
          <w:rFonts w:ascii="Times New Roman" w:hAnsi="Times New Roman"/>
          <w:color w:val="000000"/>
          <w:sz w:val="22"/>
        </w:rPr>
        <w:t>. Participant is permitted to sell Shares acquired under the Plan through the designated broker appointed under the Plan, if any, provided the sale of the Shares takes place outside of Canada.</w:t>
      </w:r>
    </w:p>
    <w:p>
      <w:pPr>
        <w:pStyle w:val="TextBody"/>
        <w:bidi w:val="0"/>
        <w:spacing w:before="0" w:after="240"/>
        <w:jc w:val="both"/>
        <w:rPr>
          <w:rFonts w:ascii="Times New Roman" w:hAnsi="Times New Roman"/>
          <w:sz w:val="20"/>
        </w:rPr>
      </w:pPr>
      <w:r>
        <w:rPr>
          <w:rFonts w:ascii="Times New Roman" w:hAnsi="Times New Roman"/>
          <w:color w:val="000000"/>
          <w:sz w:val="22"/>
          <w:u w:val="single"/>
        </w:rPr>
        <w:t>Foreign Asset/Account Reporting Information</w:t>
      </w:r>
      <w:r>
        <w:rPr>
          <w:rFonts w:ascii="Times New Roman" w:hAnsi="Times New Roman"/>
          <w:color w:val="000000"/>
          <w:sz w:val="22"/>
        </w:rPr>
        <w:t>. Specified foreign property company held by a Canadian resident generally must be reported annually on a Form T1135 (Foreign Income Verification Statement) if the total cost of the foreign property exceeds C$100,000 at any time during the year. Foreign property includes Shares acquired under the Plan, and may include the RSUs. Thus, the unvested portion of the RSUs must be reported – generally at a nil cost – if the C$100,000 cost threshold is exceeded because Participant holds other specified foreign property. When Shares are acquired, their cost generally is the adjusted cost base (“</w:t>
      </w:r>
      <w:r>
        <w:rPr>
          <w:rFonts w:ascii="Times New Roman" w:hAnsi="Times New Roman"/>
          <w:b/>
          <w:i/>
          <w:color w:val="000000"/>
          <w:sz w:val="22"/>
        </w:rPr>
        <w:t>ACB</w:t>
      </w:r>
      <w:r>
        <w:rPr>
          <w:rFonts w:ascii="Times New Roman" w:hAnsi="Times New Roman"/>
          <w:color w:val="000000"/>
          <w:sz w:val="20"/>
        </w:rPr>
        <w:t>”</w:t>
      </w:r>
      <w:r>
        <w:rPr>
          <w:rFonts w:ascii="Times New Roman" w:hAnsi="Times New Roman"/>
          <w:color w:val="000000"/>
          <w:sz w:val="22"/>
        </w:rPr>
        <w:t>) of the Shares. The ACB ordinarily will equal the fair market value of the Shares at the time of acquisition, but if Participant owns other Shares, the ACB may need to be averaged with the ACB of the other Shares. Participant should consult with Participant’s personal advisor(s) regarding any personal foreign asset/foreign account tax obligations Participant may have in connection with Participant’s participation in the Plan.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COLOMBIA</w:t>
      </w:r>
    </w:p>
    <w:p>
      <w:pPr>
        <w:pStyle w:val="TextBody"/>
        <w:bidi w:val="0"/>
        <w:jc w:val="both"/>
        <w:rPr>
          <w:rFonts w:ascii="Times New Roman" w:hAnsi="Times New Roman"/>
          <w:b/>
          <w:i/>
          <w:color w:val="000000"/>
          <w:sz w:val="22"/>
        </w:rPr>
      </w:pPr>
      <w:r>
        <w:rPr>
          <w:rFonts w:ascii="Times New Roman" w:hAnsi="Times New Roman"/>
          <w:b/>
          <w:i/>
          <w:color w:val="000000"/>
          <w:sz w:val="22"/>
        </w:rPr>
        <w:t>Terms and Conditions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Nature of Grant</w:t>
      </w:r>
      <w:r>
        <w:rPr>
          <w:rFonts w:ascii="Times New Roman" w:hAnsi="Times New Roman"/>
          <w:color w:val="000000"/>
          <w:sz w:val="22"/>
        </w:rPr>
        <w:t>. The following provision supplements Section 3.1 of the Award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accepting this award of RSUs and pursuant to Article 128 of the Colombian Labor Code, Participant expressly acknowledges, understands and agrees that the RSUs and related benefits are granted by the Company entirely on a discretionary basis, do not exclusively depend upon Participant's performance with the Service Recipient, and do not constitute a component of Participant’s “salary” for any legal purpose. Therefore, the RSUs and related benefits will not be included and/or considered for purposes of calculating any and all labor benefits, such as legal/fringe benefits, vacations, indemnities, payroll taxes, social insurance contributions and/or any other labor-related amount which may be payable, subject to any limitations as may be imposed under Applicable Law.</w:t>
      </w:r>
    </w:p>
    <w:p>
      <w:pPr>
        <w:pStyle w:val="TextBody"/>
        <w:bidi w:val="0"/>
        <w:jc w:val="both"/>
        <w:rPr/>
      </w:pPr>
      <w:r>
        <w:rPr/>
        <w:t> </w:t>
      </w:r>
    </w:p>
    <w:p>
      <w:pPr>
        <w:pStyle w:val="TextBody"/>
        <w:bidi w:val="0"/>
        <w:jc w:val="both"/>
        <w:rPr>
          <w:rFonts w:ascii="Times New Roman" w:hAnsi="Times New Roman"/>
          <w:b/>
          <w:i/>
          <w:color w:val="000000"/>
          <w:sz w:val="22"/>
        </w:rPr>
      </w:pPr>
      <w:r>
        <w:rPr>
          <w:rFonts w:ascii="Times New Roman" w:hAnsi="Times New Roman"/>
          <w:b/>
          <w:i/>
          <w:color w:val="000000"/>
          <w:sz w:val="22"/>
        </w:rPr>
        <w:t>Notifications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Securities Law Information</w:t>
      </w:r>
      <w:r>
        <w:rPr>
          <w:rFonts w:ascii="Times New Roman" w:hAnsi="Times New Roman"/>
          <w:color w:val="000000"/>
          <w:sz w:val="22"/>
        </w:rPr>
        <w:t>. The Shares subject to the RSUs have not and will not be registered with the Colombian registry of publicly traded securities (</w:t>
      </w:r>
      <w:r>
        <w:rPr>
          <w:rFonts w:ascii="Times New Roman" w:hAnsi="Times New Roman"/>
          <w:i/>
          <w:color w:val="000000"/>
          <w:sz w:val="22"/>
        </w:rPr>
        <w:t>Registro Nacional de Valores y Emisores</w:t>
      </w:r>
      <w:r>
        <w:rPr>
          <w:rFonts w:ascii="Times New Roman" w:hAnsi="Times New Roman"/>
          <w:color w:val="000000"/>
          <w:sz w:val="22"/>
        </w:rPr>
        <w:t>) and therefore the Shares may not be offered to the public in Colombia. Nothing in the Award Agreement, the Grant Notice or the Plan should be construed as the making of a public offer of securities in Colombia.</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u w:val="single"/>
        </w:rPr>
        <w:t>Exchange Control Information</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Investments in assets located outside Colombia (including Shares) are subject to registration with the Central Bank (</w:t>
      </w:r>
      <w:r>
        <w:rPr>
          <w:rFonts w:ascii="Times New Roman" w:hAnsi="Times New Roman"/>
          <w:i/>
          <w:color w:val="000000"/>
          <w:sz w:val="22"/>
        </w:rPr>
        <w:t>Banco de la República</w:t>
      </w:r>
      <w:r>
        <w:rPr>
          <w:rFonts w:ascii="Times New Roman" w:hAnsi="Times New Roman"/>
          <w:color w:val="000000"/>
          <w:sz w:val="22"/>
        </w:rPr>
        <w:t>), as foreign investments held abroad, regardless of value. In addition, all payments related to the liquidation of such investments must be transferred through the Colombian foreign exchange market (</w:t>
      </w:r>
      <w:r>
        <w:rPr>
          <w:rFonts w:ascii="Times New Roman" w:hAnsi="Times New Roman"/>
          <w:i/>
          <w:color w:val="000000"/>
          <w:sz w:val="22"/>
        </w:rPr>
        <w:t>e.g.</w:t>
      </w:r>
      <w:r>
        <w:rPr>
          <w:rFonts w:ascii="Times New Roman" w:hAnsi="Times New Roman"/>
          <w:color w:val="000000"/>
          <w:sz w:val="22"/>
        </w:rPr>
        <w:t>, local banks), which includes the obligation of correctly completing and filing the appropriate foreign exchange form (</w:t>
      </w:r>
      <w:r>
        <w:rPr>
          <w:rFonts w:ascii="Times New Roman" w:hAnsi="Times New Roman"/>
          <w:i/>
          <w:color w:val="000000"/>
          <w:sz w:val="22"/>
        </w:rPr>
        <w:t>declaración de cambio</w:t>
      </w:r>
      <w:r>
        <w:rPr>
          <w:rFonts w:ascii="Times New Roman" w:hAnsi="Times New Roman"/>
          <w:color w:val="000000"/>
          <w:sz w:val="22"/>
        </w:rPr>
        <w:t>). Participant should consult with Participant’s personal advisor(s) regarding any personal legal, regulatory or foreign exchange obligations Participant may have in connection with Participant’s participation in the Plan.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Foreign Asset/Account Reporting Information</w:t>
      </w:r>
      <w:r>
        <w:rPr>
          <w:rFonts w:ascii="Times New Roman" w:hAnsi="Times New Roman"/>
          <w:color w:val="000000"/>
          <w:sz w:val="22"/>
        </w:rPr>
        <w:t>. Participant must file an annual informative return with the local tax authority regarding the assets Participant holds abroad, which includes any Shares acquired under the Plan (for every year Participant holds the Shares). This obligation is only applicable if the value of the assets held abroad exceeds 2,000 Tax Units.</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COSTA RICA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country-specific provisions.</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POLAND</w:t>
      </w:r>
    </w:p>
    <w:p>
      <w:pPr>
        <w:pStyle w:val="TextBody"/>
        <w:bidi w:val="0"/>
        <w:jc w:val="both"/>
        <w:rPr>
          <w:rFonts w:ascii="Times New Roman" w:hAnsi="Times New Roman"/>
          <w:b/>
          <w:i/>
          <w:color w:val="000000"/>
          <w:sz w:val="22"/>
        </w:rPr>
      </w:pPr>
      <w:r>
        <w:rPr>
          <w:rFonts w:ascii="Times New Roman" w:hAnsi="Times New Roman"/>
          <w:b/>
          <w:i/>
          <w:color w:val="000000"/>
          <w:sz w:val="22"/>
        </w:rPr>
        <w:t>Notifications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Exchange Control Information</w:t>
      </w:r>
      <w:r>
        <w:rPr>
          <w:rFonts w:ascii="Times New Roman" w:hAnsi="Times New Roman"/>
          <w:color w:val="000000"/>
          <w:sz w:val="22"/>
        </w:rPr>
        <w:t>. If Participant maintains bank or brokerage accounts holding cash and foreign securities (including Shares) outside of Poland, Participant will be required to report information to the National Bank of Poland on transactions and balances in such accounts if the value of such cash and securities exceeds PLN 7 million. If required, such reports must be filed on special forms available on the website of the National Bank of Poland.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Further, any transfer of funds in excess of a certain threshold (generally, EUR 15,000) into or out of Poland must be effected through a bank account in Poland. Participant is required to retain all documents connected with any foreign exchange transactions that Participant engages in for a period of five years, as measured from the end of the year in which such transaction occurred.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480"/>
        <w:jc w:val="right"/>
        <w:rPr>
          <w:rFonts w:ascii="Times New Roman" w:hAnsi="Times New Roman"/>
          <w:b/>
          <w:color w:val="000000"/>
          <w:sz w:val="22"/>
        </w:rPr>
      </w:pPr>
      <w:bookmarkStart w:id="42" w:name="ttan-ex10_3.htm"/>
      <w:bookmarkStart w:id="43" w:name="ksttanex10_3"/>
      <w:bookmarkEnd w:id="42"/>
      <w:bookmarkEnd w:id="43"/>
      <w:r>
        <w:rPr>
          <w:rFonts w:ascii="Times New Roman" w:hAnsi="Times New Roman"/>
          <w:b/>
          <w:color w:val="000000"/>
          <w:sz w:val="22"/>
        </w:rPr>
        <w:t>Exhibit 10.3</w:t>
      </w:r>
      <w:r>
        <w:br w:type="page"/>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SERVICETITAN, INC.</w:t>
        <w:br/>
        <w:t>2024 EMPLOYEE STOCK PURCHASE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PURPOSE</w:t>
      </w:r>
    </w:p>
    <w:p>
      <w:pPr>
        <w:pStyle w:val="Heading2"/>
        <w:bidi w:val="0"/>
        <w:spacing w:before="0" w:after="240"/>
        <w:jc w:val="both"/>
        <w:rPr>
          <w:rFonts w:ascii="Times New Roman" w:hAnsi="Times New Roman"/>
          <w:sz w:val="20"/>
        </w:rPr>
      </w:pPr>
      <w:r>
        <w:rPr>
          <w:rFonts w:ascii="Times New Roman" w:hAnsi="Times New Roman"/>
          <w:b w:val="false"/>
          <w:color w:val="000000"/>
          <w:sz w:val="22"/>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As used in the Plan, the following words and phrases have the meanings specified below, unless the context clearly indicates otherwise: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color w:val="000000"/>
        </w:rPr>
        <w:t>“</w:t>
      </w:r>
      <w:r>
        <w:rPr>
          <w:rFonts w:ascii="Times New Roman" w:hAnsi="Times New Roman"/>
          <w:b/>
          <w:i/>
          <w:color w:val="000000"/>
          <w:sz w:val="22"/>
        </w:rPr>
        <w:t>Administrator</w:t>
      </w:r>
      <w:r>
        <w:rPr>
          <w:color w:val="000000"/>
        </w:rPr>
        <w:t xml:space="preserve">” </w:t>
      </w:r>
      <w:r>
        <w:rPr>
          <w:rFonts w:ascii="Times New Roman" w:hAnsi="Times New Roman"/>
          <w:color w:val="000000"/>
          <w:sz w:val="22"/>
        </w:rPr>
        <w:t>means the Committee, or such individuals to which authority to administer the Plan has been delegated under Section 7.1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color w:val="000000"/>
        </w:rPr>
        <w:t>“</w:t>
      </w:r>
      <w:r>
        <w:rPr>
          <w:rFonts w:ascii="Times New Roman" w:hAnsi="Times New Roman"/>
          <w:b/>
          <w:i/>
          <w:color w:val="000000"/>
          <w:sz w:val="22"/>
        </w:rPr>
        <w:t>Agent</w:t>
      </w:r>
      <w:r>
        <w:rPr>
          <w:color w:val="000000"/>
        </w:rPr>
        <w:t xml:space="preserve">” </w:t>
      </w:r>
      <w:r>
        <w:rPr>
          <w:rFonts w:ascii="Times New Roman" w:hAnsi="Times New Roman"/>
          <w:color w:val="000000"/>
          <w:sz w:val="22"/>
        </w:rPr>
        <w:t>means the brokerage firm, bank or other financial institution, entity or person(s), if any, engaged, retained, appointed or authorized to act as the agent of the Company or an Employee with regard to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U.S. Internal Revenue Code of 1986, as amended, and all regulations, guidance, compliance programs and other interpretative authority issued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means the Compensation Committee of the Board.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means the Class A common stock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ServiceTitan, Inc., a Delaware corporation, or any successor.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color w:val="000000"/>
        </w:rPr>
        <w:t>“</w:t>
      </w:r>
      <w:r>
        <w:rPr>
          <w:rFonts w:ascii="Times New Roman" w:hAnsi="Times New Roman"/>
          <w:b/>
          <w:i/>
          <w:color w:val="000000"/>
          <w:sz w:val="22"/>
        </w:rPr>
        <w:t>Compensation</w:t>
      </w:r>
      <w:r>
        <w:rPr>
          <w:color w:val="000000"/>
        </w:rPr>
        <w:t xml:space="preserve">” </w:t>
      </w:r>
      <w:r>
        <w:rPr>
          <w:rFonts w:ascii="Times New Roman" w:hAnsi="Times New Roman"/>
          <w:color w:val="000000"/>
          <w:sz w:val="22"/>
        </w:rPr>
        <w:t xml:space="preserve">of an Employee means the regular earnings or base salary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and prior week adjustments, but excluding bonuses and commissions, meal and rest break premiums under California state law or similar amounts paid in accordance with applicable law of any other jurisdiction,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For any Participants in non-U.S. jurisdictions, the Administrator will have discretion to determine the application of this definition. Compensation shall be calculated before deduction of any income or employment tax withholdings, but such amounts shall be withheld from the Employee’s net income.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color w:val="000000"/>
        </w:rPr>
        <w:t>“</w:t>
      </w:r>
      <w:r>
        <w:rPr>
          <w:rFonts w:ascii="Times New Roman" w:hAnsi="Times New Roman"/>
          <w:b/>
          <w:i/>
          <w:color w:val="000000"/>
          <w:sz w:val="22"/>
        </w:rPr>
        <w:t>Designated Subsidiary</w:t>
      </w:r>
      <w:r>
        <w:rPr>
          <w:color w:val="000000"/>
        </w:rPr>
        <w:t xml:space="preserve">” </w:t>
      </w:r>
      <w:r>
        <w:rPr>
          <w:rFonts w:ascii="Times New Roman" w:hAnsi="Times New Roman"/>
          <w:color w:val="000000"/>
          <w:sz w:val="22"/>
        </w:rPr>
        <w:t xml:space="preserve">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 </w:t>
      </w:r>
      <w:r>
        <w:rPr>
          <w:rFonts w:ascii="Times New Roman" w:hAnsi="Times New Roman"/>
          <w:i/>
          <w:color w:val="000000"/>
          <w:sz w:val="22"/>
        </w:rPr>
        <w:t>provided</w:t>
      </w:r>
      <w:r>
        <w:rPr>
          <w:color w:val="000000"/>
        </w:rPr>
        <w:t xml:space="preserve"> </w:t>
      </w:r>
      <w:r>
        <w:rPr>
          <w:rFonts w:ascii="Times New Roman" w:hAnsi="Times New Roman"/>
          <w:color w:val="000000"/>
          <w:sz w:val="22"/>
        </w:rPr>
        <w:t>that a Subsidiary that, for U.S. tax purposes, is disregarded from the Company or any Subsidiary that participates in the Section 423 Component shall automatically constitute a Designated Subsidiary that participates in the Section 423 Component. The designation by the Administrator of Designated Subsidiaries and changes in such designations by the Administrator shall not require stockholder approval. Only Subsidiary Corporations may be designated as Designated Subsidiaries for purposes of the Section 423 Component, and if an entity does not so qualify, it shall automatically be deemed to constitute a Designated Subsidiary that participates in the Non-Section 423 Component.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240"/>
        <w:jc w:val="both"/>
        <w:rPr/>
      </w:pPr>
      <w:r>
        <w:rPr>
          <w:color w:val="000000"/>
        </w:rPr>
        <w:t>“</w:t>
      </w:r>
      <w:r>
        <w:rPr>
          <w:rFonts w:ascii="Times New Roman" w:hAnsi="Times New Roman"/>
          <w:b/>
          <w:i/>
          <w:color w:val="000000"/>
          <w:sz w:val="22"/>
        </w:rPr>
        <w:t>Effective Date</w:t>
      </w:r>
      <w:r>
        <w:rPr>
          <w:color w:val="000000"/>
        </w:rPr>
        <w:t xml:space="preserve">” </w:t>
      </w:r>
      <w:r>
        <w:rPr>
          <w:rFonts w:ascii="Times New Roman" w:hAnsi="Times New Roman"/>
          <w:color w:val="000000"/>
          <w:sz w:val="22"/>
        </w:rPr>
        <w:t>means the date immediately prior to the date upon which Common Stock is listed (or approved for listing) upon notice of issuance on any securities exchange or designated (or approved for designation) upon notice of issuance as a national market security on an interdealer quotation system.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pPr>
      <w:r>
        <w:rPr>
          <w:color w:val="000000"/>
        </w:rPr>
        <w:t>“</w:t>
      </w:r>
      <w:r>
        <w:rPr>
          <w:rFonts w:ascii="Times New Roman" w:hAnsi="Times New Roman"/>
          <w:b/>
          <w:i/>
          <w:color w:val="000000"/>
          <w:sz w:val="22"/>
        </w:rPr>
        <w:t>Eligible Employee</w:t>
      </w:r>
      <w:r>
        <w:rPr>
          <w:color w:val="000000"/>
        </w:rPr>
        <w:t xml:space="preserve">” </w:t>
      </w:r>
      <w:r>
        <w:rPr>
          <w:rFonts w:ascii="Times New Roman" w:hAnsi="Times New Roman"/>
          <w:color w:val="000000"/>
          <w:sz w:val="22"/>
        </w:rPr>
        <w:t>means, except as otherwise provided by the Administrator or in an Offering Document, an Employee: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who is customarily scheduled to work at least 20 hours per week;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whose customary employment is more than five months in a calendar year; and</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who, after the granting of the Option, would not be deemed for purposes of Section 423(b)(3) of the Code to possess 5% or more of the total combined voting power or value of all classes of stock of the Company or any Subsidiary. </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the Administrator may exclude from participation in the Section 423 Component as an Eligible Employee:</w:t>
      </w:r>
    </w:p>
    <w:p>
      <w:pPr>
        <w:pStyle w:val="TextBody"/>
        <w:bidi w:val="0"/>
        <w:spacing w:before="0" w:after="240"/>
        <w:jc w:val="both"/>
        <w:rPr>
          <w:rFonts w:ascii="Times New Roman" w:hAnsi="Times New Roman"/>
          <w:sz w:val="20"/>
        </w:rPr>
      </w:pPr>
      <w:r>
        <w:rPr>
          <w:rFonts w:ascii="Times New Roman" w:hAnsi="Times New Roman"/>
          <w:color w:val="000000"/>
          <w:sz w:val="22"/>
        </w:rPr>
        <w:t>(x) any Employee that is a “highly compensated employee” of the Company or any Designated Subsidiary (within the meaning of Section 414(q) of the Code), or that is such a “highly compensated employee” (A) with compensation above a specified level, (B) who is an officer or (C) who is subject to the disclosure requirements of Section 16(a) of the Exchange Act;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(y) 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any exclusion in clauses (x) or (y) shall be applied in an identical manner under each Offering to all Employees of the Company and all Designated Subsidiaries, in accordance with Treas. Reg. § 1.423-2(e).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 in each case, in accordance with the requirements of Section 423 of the Code with respect to the Section 423 Component.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an individual who renders services to a Designated Subsidiary in the status of an employee, and, with respect to the Section 423 Component, a person who is an officer or other employee (as defined in accordance with Section 3401(c) of the Code) of the Company or any Designated Subsidiary.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a Designated Subsidiary (which, for purposes of the Section 423 Component, must meet the requirements of Treas. Reg. § 1.421-1(h)(2)). For purposes of the Section 423 Component, where the period of an approved leave of absence exceeds three months, or such other period specified in Treas. Reg. § 1.421-1(h)(2), and the individual’s right to reemployment is not provided either by statute or contract, the employment relationship shall be deemed to have terminated for purposes of the Plan on the first day immediately following such three-month period, or such other period specified in Treas. Reg. § 1.421-1(h)(2).</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240"/>
        <w:jc w:val="both"/>
        <w:rPr/>
      </w:pPr>
      <w:r>
        <w:rPr>
          <w:color w:val="000000"/>
        </w:rPr>
        <w:t>“</w:t>
      </w:r>
      <w:r>
        <w:rPr>
          <w:rFonts w:ascii="Times New Roman" w:hAnsi="Times New Roman"/>
          <w:b/>
          <w:i/>
          <w:color w:val="000000"/>
          <w:sz w:val="22"/>
        </w:rPr>
        <w:t>Enrollment Date</w:t>
      </w:r>
      <w:r>
        <w:rPr>
          <w:color w:val="000000"/>
        </w:rPr>
        <w:t xml:space="preserve">” </w:t>
      </w:r>
      <w:r>
        <w:rPr>
          <w:rFonts w:ascii="Times New Roman" w:hAnsi="Times New Roman"/>
          <w:color w:val="000000"/>
          <w:sz w:val="22"/>
        </w:rPr>
        <w:t>means the first date of each Offering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U.S.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240"/>
        <w:jc w:val="both"/>
        <w:rPr/>
      </w:pPr>
      <w:r>
        <w:rPr>
          <w:color w:val="000000"/>
        </w:rPr>
        <w:t>“</w:t>
      </w:r>
      <w:r>
        <w:rPr>
          <w:rFonts w:ascii="Times New Roman" w:hAnsi="Times New Roman"/>
          <w:b/>
          <w:i/>
          <w:color w:val="000000"/>
          <w:sz w:val="22"/>
        </w:rPr>
        <w:t>Exercise Date</w:t>
      </w:r>
      <w:r>
        <w:rPr>
          <w:color w:val="000000"/>
        </w:rPr>
        <w:t xml:space="preserve">” </w:t>
      </w:r>
      <w:r>
        <w:rPr>
          <w:rFonts w:ascii="Times New Roman" w:hAnsi="Times New Roman"/>
          <w:color w:val="000000"/>
          <w:sz w:val="22"/>
        </w:rPr>
        <w:t>means the last day of each Purchase Period, except as provided in Section 5.2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means, as of any date, the value of Common Stock determined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source as the Administrator deems reliable;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hAnsi="Times New Roman"/>
          <w:i/>
          <w:color w:val="000000"/>
          <w:sz w:val="22"/>
        </w:rPr>
        <w:t>The Wall Street Journal</w:t>
      </w:r>
      <w:r>
        <w:rPr>
          <w:color w:val="000000"/>
        </w:rPr>
        <w:t xml:space="preserve"> </w:t>
      </w:r>
      <w:r>
        <w:rPr>
          <w:rFonts w:ascii="Times New Roman" w:hAnsi="Times New Roman"/>
          <w:color w:val="000000"/>
          <w:sz w:val="22"/>
        </w:rPr>
        <w:t>or such other source as the Administrator deems reliable;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neither listed on an established securities exchange, national market system or automated quotation system nor regularly quoted by a recognized securities dealer, its Fair Market Value shall be established by the Administrator in good faith (and, with respect to the initial Offering Period of the Plan, as set forth in the Offering Document for the initial Offering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240"/>
        <w:jc w:val="both"/>
        <w:rPr/>
      </w:pPr>
      <w:r>
        <w:rPr>
          <w:color w:val="000000"/>
        </w:rPr>
        <w:t>“</w:t>
      </w:r>
      <w:r>
        <w:rPr>
          <w:rFonts w:ascii="Times New Roman" w:hAnsi="Times New Roman"/>
          <w:b/>
          <w:i/>
          <w:color w:val="000000"/>
          <w:sz w:val="22"/>
        </w:rPr>
        <w:t>Grant Date</w:t>
      </w:r>
      <w:r>
        <w:rPr>
          <w:color w:val="000000"/>
        </w:rPr>
        <w:t xml:space="preserve">” </w:t>
      </w:r>
      <w:r>
        <w:rPr>
          <w:rFonts w:ascii="Times New Roman" w:hAnsi="Times New Roman"/>
          <w:color w:val="000000"/>
          <w:sz w:val="22"/>
        </w:rPr>
        <w:t>means the first day of an Offering Period (or, with respect to the initial Offering Period of the Plan, such date set forth in the Offering Document approved by the Administrator with respect to the initial Offering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240"/>
        <w:jc w:val="both"/>
        <w:rPr/>
      </w:pPr>
      <w:r>
        <w:rPr>
          <w:color w:val="000000"/>
        </w:rPr>
        <w:t>“</w:t>
      </w:r>
      <w:r>
        <w:rPr>
          <w:rFonts w:ascii="Times New Roman" w:hAnsi="Times New Roman"/>
          <w:b/>
          <w:i/>
          <w:color w:val="000000"/>
          <w:sz w:val="22"/>
        </w:rPr>
        <w:t>New Exercise Date</w:t>
      </w:r>
      <w:r>
        <w:rPr>
          <w:color w:val="000000"/>
        </w:rPr>
        <w:t xml:space="preserve">” </w:t>
      </w:r>
      <w:r>
        <w:rPr>
          <w:rFonts w:ascii="Times New Roman" w:hAnsi="Times New Roman"/>
          <w:color w:val="000000"/>
          <w:sz w:val="22"/>
        </w:rPr>
        <w:t xml:space="preserve">has the meaning set forth in Section 5.2(b) 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240"/>
        <w:jc w:val="both"/>
        <w:rPr/>
      </w:pPr>
      <w:r>
        <w:rPr>
          <w:color w:val="000000"/>
        </w:rPr>
        <w:t>“</w:t>
      </w:r>
      <w:r>
        <w:rPr>
          <w:rFonts w:ascii="Times New Roman" w:hAnsi="Times New Roman"/>
          <w:b/>
          <w:i/>
          <w:color w:val="000000"/>
          <w:sz w:val="22"/>
        </w:rPr>
        <w:t>Non-Section 423 Component</w:t>
      </w:r>
      <w:r>
        <w:rPr>
          <w:color w:val="000000"/>
        </w:rPr>
        <w:t xml:space="preserve">” </w:t>
      </w:r>
      <w:r>
        <w:rPr>
          <w:rFonts w:ascii="Times New Roman" w:hAnsi="Times New Roman"/>
          <w:color w:val="000000"/>
          <w:sz w:val="22"/>
        </w:rPr>
        <w:t>means those Offerings under the Plan, together with the sub-plans, appendices, rules or procedures, if any, adopted by the Administrator as a part of this Plan, in each case, pursuant to which Options may be granted to Eligible Employees that need not satisfy the requirements for Options granted pursuant to an “employee stock purchase plan” that are set forth under Section 423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240"/>
        <w:jc w:val="both"/>
        <w:rPr/>
      </w:pPr>
      <w:r>
        <w:rPr>
          <w:color w:val="000000"/>
        </w:rPr>
        <w:t>“</w:t>
      </w:r>
      <w:r>
        <w:rPr>
          <w:rFonts w:ascii="Times New Roman" w:hAnsi="Times New Roman"/>
          <w:b/>
          <w:i/>
          <w:color w:val="000000"/>
          <w:sz w:val="22"/>
        </w:rPr>
        <w:t>Offering</w:t>
      </w:r>
      <w:r>
        <w:rPr>
          <w:color w:val="000000"/>
        </w:rPr>
        <w:t xml:space="preserve">” </w:t>
      </w:r>
      <w:r>
        <w:rPr>
          <w:rFonts w:ascii="Times New Roman" w:hAnsi="Times New Roman"/>
          <w:color w:val="000000"/>
          <w:sz w:val="22"/>
        </w:rPr>
        <w:t xml:space="preserve">means an offer under the Plan of an Option that may be exercised during an Offering Period as further described in Article 4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240"/>
        <w:jc w:val="both"/>
        <w:rPr/>
      </w:pPr>
      <w:r>
        <w:rPr>
          <w:color w:val="000000"/>
        </w:rPr>
        <w:t>“</w:t>
      </w:r>
      <w:r>
        <w:rPr>
          <w:rFonts w:ascii="Times New Roman" w:hAnsi="Times New Roman"/>
          <w:b/>
          <w:i/>
          <w:color w:val="000000"/>
          <w:sz w:val="22"/>
        </w:rPr>
        <w:t>Offering Period</w:t>
      </w:r>
      <w:r>
        <w:rPr>
          <w:color w:val="000000"/>
        </w:rPr>
        <w:t xml:space="preserve">” </w:t>
      </w:r>
      <w:r>
        <w:rPr>
          <w:rFonts w:ascii="Times New Roman" w:hAnsi="Times New Roman"/>
          <w:color w:val="000000"/>
          <w:sz w:val="22"/>
        </w:rPr>
        <w:t xml:space="preserve">means such period of time commencing on such date(s) as determined by the Board or Committee, in its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240"/>
        <w:jc w:val="both"/>
        <w:rPr/>
      </w:pPr>
      <w:r>
        <w:rPr>
          <w:color w:val="000000"/>
        </w:rPr>
        <w:t>“</w:t>
      </w:r>
      <w:r>
        <w:rPr>
          <w:rFonts w:ascii="Times New Roman" w:hAnsi="Times New Roman"/>
          <w:b/>
          <w:i/>
          <w:color w:val="000000"/>
          <w:sz w:val="22"/>
        </w:rPr>
        <w:t>Option</w:t>
      </w:r>
      <w:r>
        <w:rPr>
          <w:color w:val="000000"/>
        </w:rPr>
        <w:t xml:space="preserve">” </w:t>
      </w:r>
      <w:r>
        <w:rPr>
          <w:rFonts w:ascii="Times New Roman" w:hAnsi="Times New Roman"/>
          <w:color w:val="000000"/>
          <w:sz w:val="22"/>
        </w:rPr>
        <w:t xml:space="preserve">means the right to purchase shares of Common Stock pursuant to the Plan during each Offering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240"/>
        <w:jc w:val="both"/>
        <w:rPr/>
      </w:pPr>
      <w:r>
        <w:rPr>
          <w:color w:val="000000"/>
        </w:rPr>
        <w:t>“</w:t>
      </w:r>
      <w:r>
        <w:rPr>
          <w:rFonts w:ascii="Times New Roman" w:hAnsi="Times New Roman"/>
          <w:b/>
          <w:i/>
          <w:color w:val="000000"/>
          <w:sz w:val="22"/>
        </w:rPr>
        <w:t>Option Price</w:t>
      </w:r>
      <w:r>
        <w:rPr>
          <w:color w:val="000000"/>
        </w:rPr>
        <w:t xml:space="preserve">” </w:t>
      </w:r>
      <w:r>
        <w:rPr>
          <w:rFonts w:ascii="Times New Roman" w:hAnsi="Times New Roman"/>
          <w:color w:val="000000"/>
          <w:sz w:val="22"/>
        </w:rPr>
        <w:t>means the purchase price of a share of Common Stock hereunder as provided in Section 4.2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240"/>
        <w:jc w:val="both"/>
        <w:rPr/>
      </w:pPr>
      <w:r>
        <w:rPr>
          <w:color w:val="000000"/>
        </w:rPr>
        <w:t>“</w:t>
      </w:r>
      <w:r>
        <w:rPr>
          <w:rFonts w:ascii="Times New Roman" w:hAnsi="Times New Roman"/>
          <w:b/>
          <w:i/>
          <w:color w:val="000000"/>
          <w:sz w:val="22"/>
        </w:rPr>
        <w:t>Parent</w:t>
      </w:r>
      <w:r>
        <w:rPr>
          <w:color w:val="000000"/>
        </w:rPr>
        <w:t xml:space="preserve">” </w:t>
      </w:r>
      <w:r>
        <w:rPr>
          <w:rFonts w:ascii="Times New Roman" w:hAnsi="Times New Roman"/>
          <w:color w:val="000000"/>
          <w:sz w:val="22"/>
        </w:rPr>
        <w:t>means any entity that is a parent corporation of the Company within the meaning of Section 424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any Eligible Employee who elects to participate in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240"/>
        <w:jc w:val="both"/>
        <w:rPr/>
      </w:pPr>
      <w:r>
        <w:rPr>
          <w:color w:val="000000"/>
        </w:rPr>
        <w:t>“</w:t>
      </w:r>
      <w:r>
        <w:rPr>
          <w:rFonts w:ascii="Times New Roman" w:hAnsi="Times New Roman"/>
          <w:b/>
          <w:i/>
          <w:color w:val="000000"/>
          <w:sz w:val="22"/>
        </w:rPr>
        <w:t>Payday</w:t>
      </w:r>
      <w:r>
        <w:rPr>
          <w:color w:val="000000"/>
        </w:rPr>
        <w:t xml:space="preserve">” </w:t>
      </w:r>
      <w:r>
        <w:rPr>
          <w:rFonts w:ascii="Times New Roman" w:hAnsi="Times New Roman"/>
          <w:color w:val="000000"/>
          <w:sz w:val="22"/>
        </w:rPr>
        <w:t>means the regular and recurring established day for payment of Compensation to an Employee of the Company or any Designated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2024 Employee Stock Purchase Plan, including both the Section 423 Component and Non-Section 423 Component and any other sub-plans or appendices hereto, as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240"/>
        <w:jc w:val="both"/>
        <w:rPr/>
      </w:pPr>
      <w:r>
        <w:rPr>
          <w:color w:val="000000"/>
        </w:rPr>
        <w:t>“</w:t>
      </w:r>
      <w:r>
        <w:rPr>
          <w:rFonts w:ascii="Times New Roman" w:hAnsi="Times New Roman"/>
          <w:b/>
          <w:i/>
          <w:color w:val="000000"/>
          <w:sz w:val="22"/>
        </w:rPr>
        <w:t>Plan Account</w:t>
      </w:r>
      <w:r>
        <w:rPr>
          <w:color w:val="000000"/>
        </w:rPr>
        <w:t xml:space="preserve">” </w:t>
      </w:r>
      <w:r>
        <w:rPr>
          <w:rFonts w:ascii="Times New Roman" w:hAnsi="Times New Roman"/>
          <w:color w:val="000000"/>
          <w:sz w:val="22"/>
        </w:rPr>
        <w:t xml:space="preserve">means a bookkeeping account established and maintained by the Company in the name of each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240"/>
        <w:jc w:val="both"/>
        <w:rPr/>
      </w:pPr>
      <w:r>
        <w:rPr>
          <w:color w:val="000000"/>
        </w:rPr>
        <w:t>“</w:t>
      </w:r>
      <w:r>
        <w:rPr>
          <w:rFonts w:ascii="Times New Roman" w:hAnsi="Times New Roman"/>
          <w:b/>
          <w:i/>
          <w:color w:val="000000"/>
          <w:sz w:val="22"/>
        </w:rPr>
        <w:t>Purchase Period</w:t>
      </w:r>
      <w:r>
        <w:rPr>
          <w:color w:val="000000"/>
        </w:rPr>
        <w:t xml:space="preserve">” </w:t>
      </w:r>
      <w:r>
        <w:rPr>
          <w:rFonts w:ascii="Times New Roman" w:hAnsi="Times New Roman"/>
          <w:color w:val="000000"/>
          <w:sz w:val="22"/>
        </w:rPr>
        <w:t xml:space="preserve">means such period of time commencing on such dates as determined by the Board or Committee, in its discretion, within each Offering Period. The duration and timing of Purchase Periods may be established or changed by the Board or Committee at any time, in its sole discretion. Notwithstanding the foregoing, in no event may a Purchase Period exceed the duration of the Offering Period under which it is established.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240"/>
        <w:jc w:val="both"/>
        <w:rPr/>
      </w:pPr>
      <w:r>
        <w:rPr>
          <w:color w:val="000000"/>
        </w:rPr>
        <w:t>“</w:t>
      </w:r>
      <w:r>
        <w:rPr>
          <w:rFonts w:ascii="Times New Roman" w:hAnsi="Times New Roman"/>
          <w:b/>
          <w:i/>
          <w:color w:val="000000"/>
          <w:sz w:val="22"/>
        </w:rPr>
        <w:t>Section 409A</w:t>
      </w:r>
      <w:r>
        <w:rPr>
          <w:color w:val="000000"/>
        </w:rPr>
        <w:t xml:space="preserve">” </w:t>
      </w:r>
      <w:r>
        <w:rPr>
          <w:rFonts w:ascii="Times New Roman" w:hAnsi="Times New Roman"/>
          <w:color w:val="000000"/>
          <w:sz w:val="22"/>
        </w:rPr>
        <w:t>means Section 409A of the Code and the regulations promulgated thereunder by the United States Treasury Department, as amended or as may be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240"/>
        <w:jc w:val="both"/>
        <w:rPr/>
      </w:pPr>
      <w:r>
        <w:rPr>
          <w:color w:val="000000"/>
        </w:rPr>
        <w:t>“</w:t>
      </w:r>
      <w:r>
        <w:rPr>
          <w:rFonts w:ascii="Times New Roman" w:hAnsi="Times New Roman"/>
          <w:b/>
          <w:i/>
          <w:color w:val="000000"/>
          <w:sz w:val="22"/>
        </w:rPr>
        <w:t>Section 423 Component</w:t>
      </w:r>
      <w:r>
        <w:rPr>
          <w:color w:val="000000"/>
        </w:rPr>
        <w:t xml:space="preserve">” </w:t>
      </w:r>
      <w:r>
        <w:rPr>
          <w:rFonts w:ascii="Times New Roman" w:hAnsi="Times New Roman"/>
          <w:color w:val="000000"/>
          <w:sz w:val="22"/>
        </w:rPr>
        <w:t>means those Offerings under the Plan that are intended to meet the requirements under Section 423(b)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 any Subsidiary Corporation, and (b) with respect to any Offering pursuant to the Non-Section 423 Component only, Subsidiary may also include any corporate or noncorporate entity in which the Company has a direct or indirect equity interest or significant business relationship.</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240"/>
        <w:jc w:val="both"/>
        <w:rPr/>
      </w:pPr>
      <w:r>
        <w:rPr>
          <w:color w:val="000000"/>
        </w:rPr>
        <w:t>“</w:t>
      </w:r>
      <w:r>
        <w:rPr>
          <w:rFonts w:ascii="Times New Roman" w:hAnsi="Times New Roman"/>
          <w:b/>
          <w:i/>
          <w:color w:val="000000"/>
          <w:sz w:val="22"/>
        </w:rPr>
        <w:t>Subsidiary Corporation</w:t>
      </w:r>
      <w:r>
        <w:rPr>
          <w:color w:val="000000"/>
        </w:rPr>
        <w:t xml:space="preserve">” </w:t>
      </w:r>
      <w:r>
        <w:rPr>
          <w:rFonts w:ascii="Times New Roman" w:hAnsi="Times New Roman"/>
          <w:color w:val="000000"/>
          <w:sz w:val="22"/>
        </w:rPr>
        <w:t>shall mean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or any other entity that is a subsidiary corporation of the Company within the meaning of Section 424 of the Code.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240"/>
        <w:jc w:val="both"/>
        <w:rPr/>
      </w:pPr>
      <w:r>
        <w:rPr>
          <w:color w:val="000000"/>
        </w:rPr>
        <w:t>“</w:t>
      </w:r>
      <w:r>
        <w:rPr>
          <w:rFonts w:ascii="Times New Roman" w:hAnsi="Times New Roman"/>
          <w:b/>
          <w:i/>
          <w:color w:val="000000"/>
          <w:sz w:val="22"/>
        </w:rPr>
        <w:t>Treas. Reg.</w:t>
      </w:r>
      <w:r>
        <w:rPr>
          <w:color w:val="000000"/>
        </w:rPr>
        <w:t xml:space="preserve">” </w:t>
      </w:r>
      <w:r>
        <w:rPr>
          <w:rFonts w:ascii="Times New Roman" w:hAnsi="Times New Roman"/>
          <w:color w:val="000000"/>
          <w:sz w:val="22"/>
        </w:rPr>
        <w:t>means U.S. Department of the Treasury regulations.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240"/>
        <w:jc w:val="both"/>
        <w:rPr/>
      </w:pPr>
      <w:r>
        <w:rPr>
          <w:color w:val="000000"/>
        </w:rPr>
        <w:t>“</w:t>
      </w:r>
      <w:r>
        <w:rPr>
          <w:rFonts w:ascii="Times New Roman" w:hAnsi="Times New Roman"/>
          <w:b/>
          <w:i/>
          <w:color w:val="000000"/>
          <w:sz w:val="22"/>
        </w:rPr>
        <w:t>Withdrawal Election</w:t>
      </w:r>
      <w:r>
        <w:rPr>
          <w:color w:val="000000"/>
        </w:rPr>
        <w:t xml:space="preserve">” </w:t>
      </w:r>
      <w:r>
        <w:rPr>
          <w:rFonts w:ascii="Times New Roman" w:hAnsi="Times New Roman"/>
          <w:color w:val="000000"/>
          <w:sz w:val="22"/>
        </w:rPr>
        <w:t>has the meaning set forth in Section 6.1(a) 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color w:val="000000"/>
          <w:sz w:val="22"/>
          <w:u w:val="single"/>
        </w:rPr>
        <w:t>Eligibility</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pPr>
      <w:r>
        <w:rPr>
          <w:rFonts w:ascii="Times New Roman" w:hAnsi="Times New Roman"/>
          <w:color w:val="000000"/>
          <w:sz w:val="22"/>
          <w:u w:val="single"/>
        </w:rPr>
        <w:t>Election to Participate; Payroll Deductions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provided in Sections 3.2(e) hereof or in an applicable Offering Document,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Subject to Section 3.1(b) hereof and except as may otherwise be determined by the Administrator and/or as set forth in the Offering Document, payroll deductions (i) shall equal at least 1% of the Participant’s Compensation as of each Payday of the Offering Period following the Enrollment Date, but not more than 15%</w:t>
      </w:r>
      <w:r>
        <w:rPr>
          <w:color w:val="000000"/>
        </w:rPr>
        <w:t xml:space="preserve"> </w:t>
      </w:r>
      <w:r>
        <w:rPr>
          <w:rFonts w:ascii="Times New Roman" w:hAnsi="Times New Roman"/>
          <w:color w:val="000000"/>
          <w:sz w:val="22"/>
        </w:rPr>
        <w:t xml:space="preserve">of the Participant’s Compensation as of each Payday of the Offering Period following the Enrollment Date; and (ii) will be expressed as a whole number percentage. Amounts deducted from a Participant’s Compensation with respect to an Offering Period pursuant to this Section 3.2 shall be deducted each Payday through payroll deduction and credited to the Participant’s Plan Account;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for the first Offering Period, payroll deductions shall not begin until such date determined by the Administrator, in its sole discretion.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Unless otherwise determined by the Administrator and/or as set forth in the Offering Document, following at least one payroll deduction, a Participant may decrease (to as low as 1%) the amount deducted from such Participant’s Compensation only once during an Offering Period by delivering written notice of such decrease in such form as may be established by the Administrator to be effective no later than ten calendar days after the Company’s receipt of such notice (or such shorter or longer period of time determined by the Administrator and/or as set forth in the Offering Document). Unless otherwise determined by the Administrator and/or as set forth in the Offering Document, a Participant may not increase the amount deducted from such Participant’s Compensation during an Offering Period.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completion of an Offering Period, each Participant in such Offering Period shall automatically participate in the immediately following Offering Period at the same payroll deduction percentage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 Such Participant will be deemed to have accepted the terms and conditions of the Plan, the applicable Offering Document, any sub-plan, enrollment form, subscription agreement and/or any other terms and conditions of participation in effect at the time each subsequent Offering Period begins.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IV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PURCHASE OF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40"/>
        <w:jc w:val="both"/>
        <w:rPr/>
      </w:pPr>
      <w:r>
        <w:rPr>
          <w:rFonts w:ascii="Times New Roman" w:hAnsi="Times New Roman"/>
          <w:color w:val="000000"/>
          <w:sz w:val="22"/>
          <w:u w:val="single"/>
        </w:rPr>
        <w:t>Grant of Option</w:t>
      </w:r>
      <w:r>
        <w:rPr>
          <w:rFonts w:ascii="Times New Roman" w:hAnsi="Times New Roman"/>
          <w:color w:val="000000"/>
          <w:sz w:val="22"/>
        </w:rPr>
        <w:t>. The Company may make one or more Offerings under the Plan, which may be successive or overlapping with one another, until the earlier of: (i) the date on which the shares of Common Stock available under the Plan have been sold or (ii) the date on which the Plan is suspended or terminates. The Administrator shall designate the terms and conditions of each Offering in writing, including without limitation, the Offering Period and the Purchase Periods, as set forth in an offering document (the “</w:t>
      </w:r>
      <w:r>
        <w:rPr>
          <w:rFonts w:ascii="Times New Roman" w:hAnsi="Times New Roman"/>
          <w:b/>
          <w:i/>
          <w:color w:val="000000"/>
          <w:sz w:val="22"/>
        </w:rPr>
        <w:t>Offering Document</w:t>
      </w:r>
      <w:r>
        <w:rPr>
          <w:color w:val="000000"/>
        </w:rPr>
        <w:t>”</w:t>
      </w:r>
      <w:r>
        <w:rPr>
          <w:rFonts w:ascii="Times New Roman" w:hAnsi="Times New Roman"/>
          <w:color w:val="000000"/>
          <w:sz w:val="22"/>
        </w:rPr>
        <w:t xml:space="preserve">).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Times New Roman" w:hAnsi="Times New Roman"/>
          <w:i/>
          <w:color w:val="000000"/>
          <w:sz w:val="22"/>
        </w:rPr>
        <w:t>provided</w:t>
      </w:r>
      <w:r>
        <w:rPr>
          <w:color w:val="000000"/>
        </w:rPr>
        <w:t xml:space="preserve"> </w:t>
      </w:r>
      <w:r>
        <w:rPr>
          <w:rFonts w:ascii="Times New Roman" w:hAnsi="Times New Roman"/>
          <w:color w:val="000000"/>
          <w:sz w:val="22"/>
        </w:rPr>
        <w:t>that, unless otherwise set forth in the Offering Document, in no event shall a Participant be permitted to purchase during each Offering Period more than 100,000 shares of Common Stock (subject to any adjustment pursuant to Section 5.2 hereof). The Administrator and/or the Offering Document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40"/>
        <w:jc w:val="both"/>
        <w:rPr/>
      </w:pPr>
      <w:r>
        <w:rPr>
          <w:rFonts w:ascii="Times New Roman" w:hAnsi="Times New Roman"/>
          <w:color w:val="000000"/>
          <w:sz w:val="22"/>
          <w:u w:val="single"/>
        </w:rPr>
        <w:t>Option Price</w:t>
      </w:r>
      <w:r>
        <w:rPr>
          <w:rFonts w:ascii="Times New Roman" w:hAnsi="Times New Roman"/>
          <w:color w:val="000000"/>
          <w:sz w:val="22"/>
        </w:rPr>
        <w:t xml:space="preserve">. The Option Price per share of Common Stock to be paid by a Participant upon exercise of the Participant’s Option on an Exercise Date for an Offering Period shall equal 85% of the lesser of the Fair Market Value of a share of Common Stock on (a) the applicable Grant Date and (b) the applicable Exercise Date, or such other price designated by the Administrator;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in no event shall the Option Price per share of Common Stock be less than the par value per share of the Common Stock; </w:t>
      </w:r>
      <w:r>
        <w:rPr>
          <w:rFonts w:ascii="Times New Roman" w:hAnsi="Times New Roman"/>
          <w:i/>
          <w:color w:val="000000"/>
          <w:sz w:val="22"/>
        </w:rPr>
        <w:t>provided further</w:t>
      </w:r>
      <w:r>
        <w:rPr>
          <w:rFonts w:ascii="Times New Roman" w:hAnsi="Times New Roman"/>
          <w:color w:val="000000"/>
          <w:sz w:val="22"/>
        </w:rPr>
        <w:t>, that no Option Price shall be designated by the Administrator that would cause the Section 423 Component to fail to meet the requirements under Section 423(b)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40"/>
        <w:jc w:val="both"/>
        <w:rPr/>
      </w:pPr>
      <w:r>
        <w:rPr>
          <w:rFonts w:ascii="Times New Roman" w:hAnsi="Times New Roman"/>
          <w:color w:val="000000"/>
          <w:sz w:val="22"/>
          <w:u w:val="single"/>
        </w:rPr>
        <w:t>Purchase of Shares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which can be purchased with the amount in the Participant’s Plan Account. Except as may otherwise be provided by the Administrator with respect to any Offering and/or as set forth in the Offering Document,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shall be promptly refunded to the applicable Participant. In no event shall an amount greater than or equal to the per share Option Price as of an Exercise Date be carried forward to the next Purchase Period or Offering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soon as practicable following each Exercise Date, the number of shares of Common Stock purchased by such Participant pursuant to Section 4.3(a) hereof shall be delivered (either in share certificate or book entry form), in the Company’s sole discretion, to either (i) the Participant or (ii) 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 The Company may require that such shares of Common Stock be retained with a particular Agent for a designated period of time, including until such shares are sold and/or may establish other procedures to permit tracking of qualifying and disqualifying dispositions of such shares of Common Stock or to otherwise facilitate compliance with applicable law or administration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40"/>
        <w:jc w:val="both"/>
        <w:rPr/>
      </w:pPr>
      <w:r>
        <w:rPr>
          <w:rFonts w:ascii="Times New Roman" w:hAnsi="Times New Roman"/>
          <w:color w:val="000000"/>
          <w:sz w:val="22"/>
          <w:u w:val="single"/>
        </w:rPr>
        <w:t>Automatic Termination of Offering Period</w:t>
      </w:r>
      <w:r>
        <w:rPr>
          <w:rFonts w:ascii="Times New Roman" w:hAnsi="Times New Roman"/>
          <w:color w:val="000000"/>
          <w:sz w:val="22"/>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4.5</w:t>
      </w:r>
    </w:p>
    <w:p>
      <w:pPr>
        <w:pStyle w:val="TextBody"/>
        <w:bidi w:val="0"/>
        <w:spacing w:before="0" w:after="240"/>
        <w:jc w:val="both"/>
        <w:rPr/>
      </w:pPr>
      <w:r>
        <w:rPr>
          <w:rFonts w:ascii="Times New Roman" w:hAnsi="Times New Roman"/>
          <w:color w:val="000000"/>
          <w:sz w:val="22"/>
          <w:u w:val="single"/>
        </w:rPr>
        <w:t>Transferability of Rights</w:t>
      </w:r>
      <w:r>
        <w:rPr>
          <w:rFonts w:ascii="Times New Roman" w:hAnsi="Times New Roman"/>
          <w:color w:val="000000"/>
          <w:sz w:val="22"/>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PROVISIONS RELATING TO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color w:val="000000"/>
          <w:sz w:val="22"/>
          <w:u w:val="single"/>
        </w:rPr>
        <w:t>Common Stock Reserved</w:t>
      </w:r>
      <w:r>
        <w:rPr>
          <w:rFonts w:ascii="Times New Roman" w:hAnsi="Times New Roman"/>
          <w:color w:val="000000"/>
          <w:sz w:val="22"/>
        </w:rPr>
        <w:t xml:space="preserve">. Subject to adjustment as provided in Section 5.2 hereof, the maximum number of shares of Common Stock that shall be made available for sale under the Plan shall be the sum of (a) 2,522,595 shares of Common Stock and (b) an increase commencing on January 1, 2025 and continuing annually on the anniversary thereof through (and including) January 1, 2034, equal to the lesser of (A) 1% of the aggregate number of shares of all classes of the Company’s common stock outstanding on the last day of the immediately preceding calendar year and (B) such smaller number of shares of Common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 xml:space="preserve">Stock as determined by the Board or the Committee; </w:t>
      </w:r>
      <w:r>
        <w:rPr>
          <w:rFonts w:ascii="Times New Roman" w:hAnsi="Times New Roman"/>
          <w:i/>
          <w:color w:val="000000"/>
          <w:sz w:val="22"/>
        </w:rPr>
        <w:t>provided, however</w:t>
      </w:r>
      <w:r>
        <w:rPr>
          <w:rFonts w:ascii="Times New Roman" w:hAnsi="Times New Roman"/>
          <w:color w:val="000000"/>
          <w:sz w:val="22"/>
        </w:rPr>
        <w:t>, no more than 16,500,000 shares of Common Stock may be issued under the Plan. Shares made available for sale under the Plan may be authorized but unissued shares, treasury shares of Common Stock, or reacquired shares reserved for issuance under the Plan. All or any portion of such maximum number of shares may be issued under the Section 423 Component.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color w:val="000000"/>
          <w:sz w:val="22"/>
          <w:u w:val="single"/>
        </w:rPr>
        <w:t>Adjustments Upon Changes in Capitalization, Dissolution, Liquidation, Merger or Asset Sale</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Changes in Capitalization</w:t>
      </w:r>
      <w:r>
        <w:rPr>
          <w:rFonts w:ascii="Times New Roman" w:hAnsi="Times New Roman"/>
          <w:color w:val="000000"/>
          <w:sz w:val="22"/>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Dissolution or Liquidation</w:t>
      </w:r>
      <w:r>
        <w:rPr>
          <w:rFonts w:ascii="Times New Roman" w:hAnsi="Times New Roman"/>
          <w:color w:val="000000"/>
          <w:sz w:val="22"/>
        </w:rPr>
        <w:t>. In the event of the proposed dissolution or liquidation of the Company, the Offering Periods then in progress shall be shortened by setting a new Exercise Date (the “</w:t>
      </w:r>
      <w:r>
        <w:rPr>
          <w:rFonts w:ascii="Times New Roman" w:hAnsi="Times New Roman"/>
          <w:b/>
          <w:i/>
          <w:color w:val="000000"/>
          <w:sz w:val="22"/>
        </w:rPr>
        <w:t>New Exercise Date</w:t>
      </w:r>
      <w:r>
        <w:rPr>
          <w:color w:val="000000"/>
        </w:rPr>
        <w:t>”</w:t>
      </w:r>
      <w:r>
        <w:rPr>
          <w:rFonts w:ascii="Times New Roman" w:hAnsi="Times New Roman"/>
          <w:color w:val="000000"/>
          <w:sz w:val="22"/>
        </w:rPr>
        <w:t xml:space="preserve">),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Merger or Asset Sale</w:t>
      </w:r>
      <w:r>
        <w:rPr>
          <w:rFonts w:ascii="Times New Roman" w:hAnsi="Times New Roman"/>
          <w:color w:val="000000"/>
          <w:sz w:val="22"/>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color w:val="000000"/>
          <w:sz w:val="22"/>
          <w:u w:val="single"/>
        </w:rPr>
        <w:t>Insufficient Shares</w:t>
      </w:r>
      <w:r>
        <w:rPr>
          <w:rFonts w:ascii="Times New Roman" w:hAnsi="Times New Roman"/>
          <w:color w:val="000000"/>
          <w:sz w:val="22"/>
        </w:rPr>
        <w:t xml:space="preserve">.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240"/>
        <w:jc w:val="both"/>
        <w:rPr/>
      </w:pPr>
      <w:r>
        <w:rPr>
          <w:rFonts w:ascii="Times New Roman" w:hAnsi="Times New Roman"/>
          <w:color w:val="000000"/>
          <w:sz w:val="22"/>
          <w:u w:val="single"/>
        </w:rPr>
        <w:t>Rights as Stockholders</w:t>
      </w:r>
      <w:r>
        <w:rPr>
          <w:rFonts w:ascii="Times New Roman" w:hAnsi="Times New Roman"/>
          <w:color w:val="000000"/>
          <w:sz w:val="22"/>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TERMINATION OF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color w:val="000000"/>
          <w:sz w:val="22"/>
          <w:u w:val="single"/>
        </w:rPr>
        <w:t>Cessation of Contributions; Voluntary Withdrawal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Times New Roman" w:hAnsi="Times New Roman"/>
          <w:b/>
          <w:i/>
          <w:color w:val="000000"/>
          <w:sz w:val="22"/>
        </w:rPr>
        <w:t>Withdrawal Election</w:t>
      </w:r>
      <w:r>
        <w:rPr>
          <w:color w:val="000000"/>
        </w:rPr>
        <w:t>”</w:t>
      </w:r>
      <w:r>
        <w:rPr>
          <w:rFonts w:ascii="Times New Roman" w:hAnsi="Times New Roman"/>
          <w:color w:val="000000"/>
          <w:sz w:val="22"/>
        </w:rPr>
        <w:t>). A Participant electing to cease payroll deductions and withdraw from the Plan may elect to (i) exercise the Participant’s Option in accordance with Section 4.3 hereof with the funds credited to the Participant’s Plan Account prior to the date on which the Withdrawal Election is given effect (in accordance with the withdrawal procedures established by the Administrator pursuant to this Section 6.1(a)) and after such exercise, shall cease to participate in the Plan and/or (ii) withdraw all of the funds then credited to the Participant’s Plan Account as of the date on which the Withdrawal Election is given effect (in accordance with the withdrawal procedures established by the Administrator pursuant to this Section 6.1(a)),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For clarity, during an Offering Period, a Participant may elect to withdraw from the Plan pursuant to clause (i) and then subsequently elect to withdraw from the Plan pursuant to clause (ii), but a withdrawal pursuant to clause (ii) shall be final for such Offering Period. Upon receipt of a Withdrawal Election, the Participant’s payroll deduction authorization shall terminate.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otherwise permitted by the Administrator and/or as set forth in the Offering Document, a Participant who ceases contributions to the Plan during any Offering Period shall not be permitted to resume contributions to the Plan during that Offering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color w:val="000000"/>
          <w:sz w:val="22"/>
          <w:u w:val="single"/>
        </w:rPr>
        <w:t>Termination of Eligibility</w:t>
      </w:r>
      <w:r>
        <w:rPr>
          <w:rFonts w:ascii="Times New Roman" w:hAnsi="Times New Roman"/>
          <w:color w:val="000000"/>
          <w:sz w:val="22"/>
        </w:rPr>
        <w:t xml:space="preserve">. Subject to Section 7.17 hereof, upon a Participant’s ceasing to be an Eligible Employee, for any reason, such Participant’s Option for the applicable Offering Period shall automatically terminate, the Participant shall be deemed to have elected to withdraw from the Plan, and such Participant’s Plan Account shall be paid to such Participant or, in the case of the Participant’s death, to the person or persons entitled thereto pursuant to applicable law, within 30 days after such cessation of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being an Eligible Employee, without any interest thereon.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companies participating in the Section 423 Component and the Non-Section 423 Component, consistent with the applicable requirements of Section 423 of the Code.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VII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GENERAL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color w:val="000000"/>
          <w:sz w:val="22"/>
          <w:u w:val="single"/>
        </w:rPr>
        <w:t>Administration</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shall be administered by the Committee, which shall be composed of members of the Board. To the extent permitted under applicable law, the Committee may delegate administrative or other tasks under the Plan to the services of an Agent or Employees to assist in the administration of the Plan, including establishing and maintaining an individual securities account under the Plan for each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shall be the duty of the Administrator to conduct the general administration of the Plan in accordance with the provisions of the Plan. The Administrator shall have the power, subject to, and within the limitations of, the express provisions of the Plan: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establish and terminate Offerings;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determine when and how Options shall be granted and the provisions and terms of each Offering (which need not be identical);</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To select Designated Subsidiaries in accordance with Section 7.2 hereof;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impose a mandatory holding period pursuant to which Participants may not dispose of or transfer shares of Common Stock purchased under the Plan for a period of time determined by the Administrator in its discretion; and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color w:val="000000"/>
          <w:sz w:val="22"/>
          <w:u w:val="single"/>
        </w:rPr>
        <w:t>Designation of Subsidiary Corporations</w:t>
      </w:r>
      <w:r>
        <w:rPr>
          <w:rFonts w:ascii="Times New Roman" w:hAnsi="Times New Roman"/>
          <w:color w:val="000000"/>
          <w:sz w:val="22"/>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40"/>
        <w:jc w:val="both"/>
        <w:rPr/>
      </w:pPr>
      <w:r>
        <w:rPr>
          <w:rFonts w:ascii="Times New Roman" w:hAnsi="Times New Roman"/>
          <w:color w:val="000000"/>
          <w:sz w:val="22"/>
          <w:u w:val="single"/>
        </w:rPr>
        <w:t>Reports</w:t>
      </w:r>
      <w:r>
        <w:rPr>
          <w:rFonts w:ascii="Times New Roman" w:hAnsi="Times New Roman"/>
          <w:color w:val="000000"/>
          <w:sz w:val="22"/>
        </w:rPr>
        <w:t>. Individual accounts shall be maintained for each Participant in the Plan. Statements of Plan Accounts shall be made available to Participants at least annually, which statements shall set forth the amounts of payroll deductions, the Option Price, the number of shares purchased and the remaining cash balance, if 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7.4</w:t>
      </w:r>
    </w:p>
    <w:p>
      <w:pPr>
        <w:pStyle w:val="TextBody"/>
        <w:bidi w:val="0"/>
        <w:spacing w:before="0" w:after="240"/>
        <w:jc w:val="both"/>
        <w:rPr/>
      </w:pPr>
      <w:r>
        <w:rPr>
          <w:rFonts w:ascii="Times New Roman" w:hAnsi="Times New Roman"/>
          <w:color w:val="000000"/>
          <w:sz w:val="22"/>
          <w:u w:val="single"/>
        </w:rPr>
        <w:t>No Right to Employment</w:t>
      </w:r>
      <w:r>
        <w:rPr>
          <w:rFonts w:ascii="Times New Roman" w:hAnsi="Times New Roman"/>
          <w:color w:val="000000"/>
          <w:sz w:val="22"/>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7.5</w:t>
      </w:r>
    </w:p>
    <w:p>
      <w:pPr>
        <w:pStyle w:val="TextBody"/>
        <w:bidi w:val="0"/>
        <w:spacing w:before="0" w:after="240"/>
        <w:jc w:val="both"/>
        <w:rPr/>
      </w:pPr>
      <w:r>
        <w:rPr>
          <w:rFonts w:ascii="Times New Roman" w:hAnsi="Times New Roman"/>
          <w:color w:val="000000"/>
          <w:sz w:val="22"/>
          <w:u w:val="single"/>
        </w:rPr>
        <w:t>Amendment and Termination of the Plan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Administrator determines that the ongoing operation of the Plan may result in unfavorable financial accounting consequences, the Administrator may, to the extent permitted under Section 423 of the Code, for the Section 423 Component, in its discretion and, to the extent necessary or desirable, modify or amend the Plan to reduce or eliminate such accounting consequence including, but not limited 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altering the Option Price for any Offering Period including an Offering Period underway at the time of the change in Option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shortening any Offering Period so that the Offering Period ends on a new Exercise Date, including an Offering Period underway at the time of the Administrator action;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allocating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Such modifications or amendments shall not require stockholder approval or the consent of any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termination of the Plan, the balance in each Participant’s Plan Account shall be refunded as soon as practicable after such termination, without any interest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7.6</w:t>
      </w:r>
    </w:p>
    <w:p>
      <w:pPr>
        <w:pStyle w:val="TextBody"/>
        <w:bidi w:val="0"/>
        <w:spacing w:before="0" w:after="240"/>
        <w:jc w:val="both"/>
        <w:rPr/>
      </w:pPr>
      <w:r>
        <w:rPr>
          <w:rFonts w:ascii="Times New Roman" w:hAnsi="Times New Roman"/>
          <w:color w:val="000000"/>
          <w:sz w:val="22"/>
          <w:u w:val="single"/>
        </w:rPr>
        <w:t>Use of Funds; No Interest Paid</w:t>
      </w:r>
      <w:r>
        <w:rPr>
          <w:rFonts w:ascii="Times New Roman" w:hAnsi="Times New Roman"/>
          <w:color w:val="000000"/>
          <w:sz w:val="22"/>
        </w:rPr>
        <w:t>. All funds received by the Company by reason of purchase of shares of Common Stock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shall be paid to any Participant or credited under the Plan, except as may be required by local law in a non-U.S. jurisdiction. If the segregation of funds and/or payment of interest on any Participant’s account is so required, such provisions shall apply to all Participants in the relevant Offering except to the extent otherwise permitted by Treas. Reg § 1.423-2(f). With respect to any Offering under the Non-Section 423 Component, the payment of interest shall apply as determined by the Administrator (but absent any such determination, no interest shall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7.7</w:t>
      </w:r>
    </w:p>
    <w:p>
      <w:pPr>
        <w:pStyle w:val="TextBody"/>
        <w:bidi w:val="0"/>
        <w:spacing w:before="0" w:after="240"/>
        <w:jc w:val="both"/>
        <w:rPr/>
      </w:pPr>
      <w:r>
        <w:rPr>
          <w:rFonts w:ascii="Times New Roman" w:hAnsi="Times New Roman"/>
          <w:color w:val="000000"/>
          <w:sz w:val="22"/>
          <w:u w:val="single"/>
        </w:rPr>
        <w:t>Term; Approval by Stockholders</w:t>
      </w:r>
      <w:r>
        <w:rPr>
          <w:rFonts w:ascii="Times New Roman" w:hAnsi="Times New Roman"/>
          <w:color w:val="000000"/>
          <w:sz w:val="22"/>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Options shall not be exercisable prior to the time when the Plan is approved by the stockholders;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color w:val="000000"/>
        </w:rPr>
        <w:t xml:space="preserve"> </w:t>
      </w:r>
      <w:r>
        <w:rPr>
          <w:rFonts w:ascii="Times New Roman" w:hAnsi="Times New Roman"/>
          <w:color w:val="000000"/>
          <w:sz w:val="22"/>
        </w:rPr>
        <w:t>that if such approval has not been obtained by the end of the 12-month period, all Options previously granted under the Plan shall thereupon terminate and be canceled and become null and void without being exercised.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7.8</w:t>
      </w:r>
    </w:p>
    <w:p>
      <w:pPr>
        <w:pStyle w:val="TextBody"/>
        <w:bidi w:val="0"/>
        <w:spacing w:before="0" w:after="240"/>
        <w:jc w:val="both"/>
        <w:rPr/>
      </w:pPr>
      <w:r>
        <w:rPr>
          <w:rFonts w:ascii="Times New Roman" w:hAnsi="Times New Roman"/>
          <w:color w:val="000000"/>
          <w:sz w:val="22"/>
          <w:u w:val="single"/>
        </w:rPr>
        <w:t>Effect Upon Other Plans</w:t>
      </w:r>
      <w:r>
        <w:rPr>
          <w:rFonts w:ascii="Times New Roman" w:hAnsi="Times New Roman"/>
          <w:color w:val="000000"/>
          <w:sz w:val="22"/>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7.9</w:t>
      </w:r>
    </w:p>
    <w:p>
      <w:pPr>
        <w:pStyle w:val="TextBody"/>
        <w:bidi w:val="0"/>
        <w:spacing w:before="0" w:after="240"/>
        <w:jc w:val="both"/>
        <w:rPr/>
      </w:pPr>
      <w:r>
        <w:rPr>
          <w:rFonts w:ascii="Times New Roman" w:hAnsi="Times New Roman"/>
          <w:color w:val="000000"/>
          <w:sz w:val="22"/>
          <w:u w:val="single"/>
        </w:rPr>
        <w:t>Conformity to Securities Laws</w:t>
      </w:r>
      <w:r>
        <w:rPr>
          <w:rFonts w:ascii="Times New Roman" w:hAnsi="Times New Roman"/>
          <w:color w:val="000000"/>
          <w:sz w:val="22"/>
        </w:rPr>
        <w:t xml:space="preserve">. Notwithstanding any other provision of the Plan, the Plan and the participation in the Plan by any individual who is then subject to Section 16 of the Exchange Act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7.10</w:t>
      </w:r>
    </w:p>
    <w:p>
      <w:pPr>
        <w:pStyle w:val="TextBody"/>
        <w:bidi w:val="0"/>
        <w:spacing w:before="0" w:after="240"/>
        <w:jc w:val="both"/>
        <w:rPr/>
      </w:pPr>
      <w:r>
        <w:rPr>
          <w:rFonts w:ascii="Times New Roman" w:hAnsi="Times New Roman"/>
          <w:color w:val="000000"/>
          <w:sz w:val="22"/>
          <w:u w:val="single"/>
        </w:rPr>
        <w:t>Notice of Disposition of Shares</w:t>
      </w:r>
      <w:r>
        <w:rPr>
          <w:rFonts w:ascii="Times New Roman" w:hAnsi="Times New Roman"/>
          <w:color w:val="000000"/>
          <w:sz w:val="22"/>
        </w:rPr>
        <w:t>. Each Participant in the Section 423 Component shall give the Company prompt notice of any disposition or other transfer of any shares of Common Stock, acquired pursuant to the exercise of an Option granted under the Section 423 Component, if such disposition or transfer is made (a) 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7.11</w:t>
      </w:r>
    </w:p>
    <w:p>
      <w:pPr>
        <w:pStyle w:val="TextBody"/>
        <w:bidi w:val="0"/>
        <w:spacing w:before="0" w:after="240"/>
        <w:jc w:val="both"/>
        <w:rPr/>
      </w:pPr>
      <w:r>
        <w:rPr>
          <w:rFonts w:ascii="Times New Roman" w:hAnsi="Times New Roman"/>
          <w:color w:val="000000"/>
          <w:sz w:val="22"/>
          <w:u w:val="single"/>
        </w:rPr>
        <w:t>Tax Withholding</w:t>
      </w:r>
      <w:r>
        <w:rPr>
          <w:rFonts w:ascii="Times New Roman" w:hAnsi="Times New Roman"/>
          <w:color w:val="000000"/>
          <w:sz w:val="22"/>
        </w:rPr>
        <w:t xml:space="preserve">. The Company or any Parent or any Subsidiary shall be entitled to withhold any federal, state or local tax or other amounts required to be withheld by applicable law with respect to participation in the Plan by (a) withholding from wages or other cash compensation payable to each Participant, (b) withholding from the proceeds of the sale of shares of Common Stock purchased under the Plan, either through a Participant’s voluntary sale or through a mandatory sale arranged by the Company, (c) withholding shares of Common Stock otherwise issuable upon exercise of an Option under the Plan or (d) withholding by any other method determined by the Company and compliant with applicable law. If any withholding obligation described in the foregoing sentence will be satisfied under clause (b) thereof, each Participant’s enrollment in the Plan will constitute the Participant’s authorization to the Company and instruction and authorization to the Agent selected to effect the sale to complete the transactions described in clause (b).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7.12</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The Plan and all rights and obligations thereunder shall be construed and enforced in accordance with the laws of the State of Delaware, without regard to the conflict of law rules thereof or of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7.13</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xml:space="preserve">. All notices or other communications by a Participant to the Company under or in connection with the Plan shall be deemed to have been duly given when received in the form specified by the Company at the location, or by the person, designated by the Company for the receipt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7.14</w:t>
      </w:r>
    </w:p>
    <w:p>
      <w:pPr>
        <w:pStyle w:val="TextBody"/>
        <w:bidi w:val="0"/>
        <w:spacing w:before="0" w:after="240"/>
        <w:jc w:val="both"/>
        <w:rPr/>
      </w:pPr>
      <w:r>
        <w:rPr>
          <w:rFonts w:ascii="Times New Roman" w:hAnsi="Times New Roman"/>
          <w:color w:val="000000"/>
          <w:sz w:val="22"/>
          <w:u w:val="single"/>
        </w:rPr>
        <w:t>Conditions To Issuance of Shares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place legends on any certificate or book entry evidencing shares of Common Stock to reference restrictions applicable to the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7.15</w:t>
      </w:r>
    </w:p>
    <w:p>
      <w:pPr>
        <w:pStyle w:val="TextBody"/>
        <w:bidi w:val="0"/>
        <w:spacing w:before="0" w:after="240"/>
        <w:jc w:val="both"/>
        <w:rPr/>
      </w:pPr>
      <w:r>
        <w:rPr>
          <w:rFonts w:ascii="Times New Roman" w:hAnsi="Times New Roman"/>
          <w:color w:val="000000"/>
          <w:sz w:val="22"/>
          <w:u w:val="single"/>
        </w:rPr>
        <w:t>Equal Rights and Privileges</w:t>
      </w:r>
      <w:r>
        <w:rPr>
          <w:rFonts w:ascii="Times New Roman" w:hAnsi="Times New Roman"/>
          <w:color w:val="000000"/>
          <w:sz w:val="22"/>
        </w:rPr>
        <w:t xml:space="preserve">.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7.16</w:t>
      </w:r>
    </w:p>
    <w:p>
      <w:pPr>
        <w:pStyle w:val="TextBody"/>
        <w:bidi w:val="0"/>
        <w:spacing w:before="0" w:after="240"/>
        <w:jc w:val="both"/>
        <w:rPr/>
      </w:pPr>
      <w:r>
        <w:rPr>
          <w:rFonts w:ascii="Times New Roman" w:hAnsi="Times New Roman"/>
          <w:color w:val="000000"/>
          <w:sz w:val="22"/>
          <w:u w:val="single"/>
        </w:rPr>
        <w:t>Rules Particular to Specific Jurisdictions</w:t>
      </w:r>
      <w:r>
        <w:rPr>
          <w:rFonts w:ascii="Times New Roman" w:hAnsi="Times New Roman"/>
          <w:color w:val="000000"/>
          <w:sz w:val="22"/>
        </w:rPr>
        <w:t>.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7.1 hereof. Without limiting the foregoing, the Administrator is specifically authorized to adopt rules and procedures,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in each case, in accordance with the requirements of Section 423 of the Code with respect to the Section 423 Component. The Administrator also is authorized to determine that, to the extent permitted by Treas. Reg. § 1.423-2(f), the terms of an Option granted under the Plan or an Offering to citizens or residents of a non-U.S. jurisdiction will be less favorable than the terms of an Option granted under the Plan or the same Offering to Employees resident solely in the United States. To the extent any sub-plan or appendix or other changes approved by the Administrator are inconsistent with the requirements of Section 423 of the Code or would jeopardize the tax-qualified status of the Section 423 Component, the change shall cause the Designated Subsidiaries affected thereby to be considered Designated Subsidiaries in a separate Offering under the Non-Section 423 Component instead of the Section 423 Component. To the extent any Employee of a Designated Subsidiary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provisions of the Plan to the contrary, in non-U.S. jurisdictions where participation in the Plan through payroll deductions is prohibited, the Administrator may provide that an Eligible Employee may elect to participate through contributions to his or her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7.18</w:t>
      </w:r>
    </w:p>
    <w:p>
      <w:pPr>
        <w:pStyle w:val="TextBody"/>
        <w:bidi w:val="0"/>
        <w:spacing w:before="0" w:after="240"/>
        <w:jc w:val="both"/>
        <w:rPr/>
      </w:pPr>
      <w:r>
        <w:rPr>
          <w:rFonts w:ascii="Times New Roman" w:hAnsi="Times New Roman"/>
          <w:color w:val="000000"/>
          <w:sz w:val="22"/>
          <w:u w:val="single"/>
        </w:rPr>
        <w:t>Section 409A</w:t>
      </w:r>
      <w:r>
        <w:rPr>
          <w:rFonts w:ascii="Times New Roman" w:hAnsi="Times New Roman"/>
          <w:color w:val="000000"/>
          <w:sz w:val="22"/>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b/>
          <w:color w:val="000000"/>
          <w:sz w:val="22"/>
        </w:rPr>
      </w:pPr>
      <w:bookmarkStart w:id="44" w:name="ttan-ex10_9.htm"/>
      <w:bookmarkStart w:id="45" w:name="ksttanex10_9"/>
      <w:bookmarkEnd w:id="44"/>
      <w:bookmarkEnd w:id="45"/>
      <w:r>
        <w:rPr>
          <w:rFonts w:ascii="Times New Roman" w:hAnsi="Times New Roman"/>
          <w:b/>
          <w:color w:val="000000"/>
          <w:sz w:val="22"/>
        </w:rPr>
        <w:t>Exhibit 10.9</w:t>
      </w:r>
      <w:r>
        <w:br w:type="page"/>
      </w:r>
    </w:p>
    <w:p>
      <w:pPr>
        <w:pStyle w:val="TextBody"/>
        <w:bidi w:val="0"/>
        <w:spacing w:before="0" w:after="480"/>
        <w:jc w:val="left"/>
        <w:rPr/>
      </w:pPr>
      <w:r>
        <w:rPr/>
        <w:t> </w:t>
      </w:r>
    </w:p>
    <w:p>
      <w:pPr>
        <w:pStyle w:val="TextBody"/>
        <w:bidi w:val="0"/>
        <w:spacing w:before="0" w:after="480"/>
        <w:jc w:val="center"/>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CREDIT AGREEMENT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Dated as of January 23, 2023</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among</w:t>
      </w:r>
    </w:p>
    <w:p>
      <w:pPr>
        <w:pStyle w:val="TextBody"/>
        <w:bidi w:val="0"/>
        <w:jc w:val="center"/>
        <w:rPr>
          <w:rFonts w:ascii="Times New Roman" w:hAnsi="Times New Roman"/>
          <w:sz w:val="20"/>
        </w:rPr>
      </w:pPr>
      <w:r>
        <w:rPr>
          <w:rFonts w:ascii="Times New Roman" w:hAnsi="Times New Roman"/>
          <w:color w:val="000000"/>
          <w:sz w:val="22"/>
        </w:rPr>
        <w:t>SERVICETITAN, INC.,</w:t>
        <w:br/>
        <w:t>as the Borrower,</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WELLS FARGO BANK, NATIONAL ASSOCIATION,</w:t>
        <w:br/>
        <w:t>as Administrative Agent and Collateral Agent,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LENDERS PARTY HERETO,</w:t>
      </w:r>
    </w:p>
    <w:p>
      <w:pPr>
        <w:pStyle w:val="TextBody"/>
        <w:bidi w:val="0"/>
        <w:jc w:val="center"/>
        <w:rPr>
          <w:rFonts w:ascii="Times New Roman" w:hAnsi="Times New Roman"/>
          <w:color w:val="000000"/>
          <w:sz w:val="22"/>
        </w:rPr>
      </w:pPr>
      <w:r>
        <w:rPr>
          <w:rFonts w:ascii="Times New Roman" w:hAnsi="Times New Roman"/>
          <w:color w:val="000000"/>
          <w:sz w:val="22"/>
        </w:rPr>
        <w:t>SILICON VALLEY BANK, A DIVISION OF FIRST-CITIZENS BANK &amp; TRUST COMPANY</w:t>
      </w:r>
    </w:p>
    <w:p>
      <w:pPr>
        <w:pStyle w:val="TextBody"/>
        <w:bidi w:val="0"/>
        <w:jc w:val="center"/>
        <w:rPr>
          <w:rFonts w:ascii="Times New Roman" w:hAnsi="Times New Roman"/>
          <w:color w:val="000000"/>
          <w:sz w:val="22"/>
        </w:rPr>
      </w:pPr>
      <w:r>
        <w:rPr>
          <w:rFonts w:ascii="Times New Roman" w:hAnsi="Times New Roman"/>
          <w:color w:val="000000"/>
          <w:sz w:val="22"/>
        </w:rPr>
        <w:t>KEYBANK NATIONAL ASSOCIATION,</w:t>
      </w:r>
    </w:p>
    <w:p>
      <w:pPr>
        <w:pStyle w:val="TextBody"/>
        <w:bidi w:val="0"/>
        <w:jc w:val="center"/>
        <w:rPr>
          <w:rFonts w:ascii="Times New Roman" w:hAnsi="Times New Roman"/>
          <w:color w:val="000000"/>
          <w:sz w:val="22"/>
        </w:rPr>
      </w:pPr>
      <w:r>
        <w:rPr>
          <w:rFonts w:ascii="Times New Roman" w:hAnsi="Times New Roman"/>
          <w:color w:val="000000"/>
          <w:sz w:val="22"/>
        </w:rPr>
        <w:t>as Joint Lead Arrangers and Bookrunners</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spacing w:before="0" w:after="240"/>
        <w:jc w:val="right"/>
        <w:rPr>
          <w:rFonts w:ascii="Times New Roman" w:hAnsi="Times New Roman"/>
          <w:color w:val="000000"/>
          <w:sz w:val="22"/>
          <w:u w:val="single"/>
        </w:rPr>
      </w:pPr>
      <w:r>
        <w:rPr>
          <w:rFonts w:ascii="Times New Roman" w:hAnsi="Times New Roman"/>
          <w:color w:val="000000"/>
          <w:sz w:val="22"/>
          <w:u w:val="single"/>
        </w:rPr>
        <w:t>Page</w:t>
      </w:r>
    </w:p>
    <w:tbl>
      <w:tblPr>
        <w:tblW w:w="9737" w:type="dxa"/>
        <w:jc w:val="left"/>
        <w:tblInd w:w="0" w:type="dxa"/>
        <w:tblLayout w:type="fixed"/>
        <w:tblCellMar>
          <w:top w:w="28" w:type="dxa"/>
          <w:left w:w="28" w:type="dxa"/>
          <w:bottom w:w="28" w:type="dxa"/>
          <w:right w:w="28" w:type="dxa"/>
        </w:tblCellMar>
      </w:tblPr>
      <w:tblGrid>
        <w:gridCol w:w="7246"/>
        <w:gridCol w:w="2491"/>
      </w:tblGrid>
      <w:tr>
        <w:trPr/>
        <w:tc>
          <w:tcPr>
            <w:tcW w:w="724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973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I</w:t>
              <w:br/>
              <w:br/>
              <w:t>Definitions and Accounting Terms</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 Defined Terms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 Other Interpretive Provisions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59</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1.03 Accounting Terms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59</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1.04 Rounding</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60</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1.05 References to Agreements, Laws, Etc.</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60</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1.06 Times of Day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60</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1.07 Timing of Payment or Performance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60</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1.08 Currency Equivalents Generally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61</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1.09 Certain Calculations and Tests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61</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1.10 [Reserved]</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62</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1.11 Letter of Credit Amounts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62</w:t>
            </w:r>
          </w:p>
        </w:tc>
      </w:tr>
      <w:tr>
        <w:trPr/>
        <w:tc>
          <w:tcPr>
            <w:tcW w:w="973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II</w:t>
              <w:br/>
              <w:br/>
              <w:t>The Commitments and Credit Extensions</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2.01 The Loans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63</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2.02 Borrowings, Conversions and Continuations of Loans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63</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2.03 Letters of Credit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66</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2.04 Swing Line Loans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75</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2.05 Prepayments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78</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2.06 Termination or Reduction of Commitments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85</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2.07 Repayment of Loans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86</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2.08 Interest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86</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2.09 Fees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87</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2.10 Computation of Interest and Fees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87</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2.11 Evidence of Indebtedness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87</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2.12 Payments Generally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88</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2.13 Sharing of Payments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89</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2.14 Incremental Credit Extensions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90</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2.15 Extensions of Term Loans and Revolving Credit Commitments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93</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2.16 Defaulting Lenders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96</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2.17 Permitted Debt Exchanges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97</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2.18 Loan Account</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r>
      <w:tr>
        <w:trPr/>
        <w:tc>
          <w:tcPr>
            <w:tcW w:w="9737"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III</w:t>
              <w:br/>
              <w:br/>
              <w:t>Taxes, Increased Costs Protection and Illegality</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3.01 Taxes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101</w:t>
            </w:r>
          </w:p>
        </w:tc>
      </w:tr>
      <w:tr>
        <w:trPr/>
        <w:tc>
          <w:tcPr>
            <w:tcW w:w="7246"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3.02 Inability to Determine Rates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105</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7714"/>
        <w:gridCol w:w="2491"/>
      </w:tblGrid>
      <w:tr>
        <w:trPr/>
        <w:tc>
          <w:tcPr>
            <w:tcW w:w="7714"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ind w:left="0" w:right="0" w:firstLine="1980"/>
              <w:jc w:val="left"/>
              <w:rPr>
                <w:sz w:val="4"/>
                <w:szCs w:val="4"/>
              </w:rPr>
            </w:pPr>
            <w:r>
              <w:rPr>
                <w:sz w:val="4"/>
                <w:szCs w:val="4"/>
              </w:rPr>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3.03 Increased Cost and Reduced Return; Capital Adequacy; Reserves on SOFR Loans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107</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3.04 Funding Losses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108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3.05 Matters Applicable to All Requests for Compensation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108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3.06 Replacement of Lenders under Certain Circumstances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109</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3.07 Illegality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3.08 Survival</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111</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IV</w:t>
              <w:br/>
              <w:br/>
              <w:t>Conditions Precedent to Credit Extensions</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4.01 Conditions to Closing Date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4.02 Conditions to Subsequent Credit Extensions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113</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V</w:t>
              <w:br/>
              <w:br/>
              <w:t>Representations and Warranties</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5.01 Existence, Qualification and Power; Compliance with Laws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5.02 Authorization; No Contravention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5.03 Governmental Authorization; Other Consents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5.04 Binding Effect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5.05 Financial Statements; No Material Adverse Effect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5.06 Litigation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5.07 Ownership of Property; Liens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5.08 Environmental Matters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5.09 Taxes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116</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5.10 Compliance with ERISA</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116</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5.11 Subsidiaries; Equity Interests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116</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5.12 Margin Regulations; Investment Company Act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117</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5.13 Disclosure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117</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5.14 Intellectual Property; Licenses, Etc.</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117</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5.15 Privacy and Data Security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5.16 Solvency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5.17 Collateral Documents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5.18 Use of Proceeds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5.19 Sanctions Laws and Regulations and Anti-Corruption Laws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5.20 Insurance</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VI</w:t>
              <w:br/>
              <w:br/>
              <w:t>Affirmative Covenants</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6.01 Financial Statements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119</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6.02 Certificates; Other Information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6.03 Notices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122</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6.04 Maintenance of Existence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122</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6.05 Maintenance of Properties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6.06 Maintenance of Insurance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6.07 Compliance with Laws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123</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 w:hAnsi="Times New Roman"/>
          <w:color w:val="000000"/>
          <w:sz w:val="22"/>
          <w:u w:val="single"/>
        </w:rPr>
      </w:pPr>
      <w:r>
        <w:rPr>
          <w:rFonts w:ascii="Times New Roman" w:hAnsi="Times New Roman"/>
          <w:color w:val="000000"/>
          <w:sz w:val="22"/>
          <w:u w:val="single"/>
        </w:rPr>
        <w:t>Page</w:t>
      </w:r>
    </w:p>
    <w:tbl>
      <w:tblPr>
        <w:tblW w:w="9452" w:type="dxa"/>
        <w:jc w:val="left"/>
        <w:tblInd w:w="0" w:type="dxa"/>
        <w:tblLayout w:type="fixed"/>
        <w:tblCellMar>
          <w:top w:w="28" w:type="dxa"/>
          <w:left w:w="28" w:type="dxa"/>
          <w:bottom w:w="28" w:type="dxa"/>
          <w:right w:w="28" w:type="dxa"/>
        </w:tblCellMar>
      </w:tblPr>
      <w:tblGrid>
        <w:gridCol w:w="6961"/>
        <w:gridCol w:w="2491"/>
      </w:tblGrid>
      <w:tr>
        <w:trPr/>
        <w:tc>
          <w:tcPr>
            <w:tcW w:w="69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ind w:left="0" w:right="0" w:firstLine="1980"/>
              <w:jc w:val="left"/>
              <w:rPr>
                <w:sz w:val="4"/>
                <w:szCs w:val="4"/>
              </w:rPr>
            </w:pPr>
            <w:r>
              <w:rPr>
                <w:sz w:val="4"/>
                <w:szCs w:val="4"/>
              </w:rPr>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 xml:space="preserve">Section 6.08 Privacy and Data Security </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123</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6.09 Books and Records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123</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6.10 Inspection Rights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124</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6.11 Covenant to Guarantee Obligations and Give Security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124</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6.12 Use of Proceeds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126</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6.13 Further Assurances and Post-Closing Covenants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126</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6.14 Designation of Subsidiaries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126</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6.15 Payment of Taxes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6.16 Nature of Business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 xml:space="preserve">Section 6.17 Sanctions Laws and Regulations and Anti-Corruption Laws </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127</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VII</w:t>
              <w:br/>
              <w:br/>
              <w:t>Negative Covenants</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7.01 Liens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128</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7.02 Investments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132</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7.03 Indebtedness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135</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7.04 Fundamental Changes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139</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7.05 Dispositions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141</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7.06 Restricted Payments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143</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7.07 Transactions with Affiliates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146</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7.08 Prepayments, Etc., of Indebtedness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7.09 [Reserved]</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148</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7.10 Subsidiary Distributions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148</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7.11 Financial Covenant</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149</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VIII</w:t>
              <w:br/>
              <w:br/>
              <w:t>Events of Default and Remedies</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8.01 Events of Default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149</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8.02 Remedies Upon Event of Default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151</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8.03 Exclusion of Immaterial Subsidiaries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152</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8.04 Application of Funds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152</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8.05 Cure Right</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153</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IX</w:t>
              <w:br/>
              <w:br/>
              <w:t>Administrative Agent and Other Agents</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9.01 Appointment and Authorization of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154</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9.02 Delegation of Duties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155</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9.03 Liability of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155</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9.04 Reliance by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156</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9.05 Notice of Default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9.06 Credit Decision; Disclosure of Information by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9.07 Indemnification of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157</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9.08 Agents in their Individual Capacities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158</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9.09 Successor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158</w:t>
            </w:r>
          </w:p>
        </w:tc>
      </w:tr>
      <w:tr>
        <w:trPr/>
        <w:tc>
          <w:tcPr>
            <w:tcW w:w="6961"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9.10 Administrative Agent May File Proofs of Claim</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159</w:t>
            </w:r>
          </w:p>
        </w:tc>
      </w:tr>
    </w:tbl>
    <w:p>
      <w:pPr>
        <w:pStyle w:val="TextBody"/>
        <w:bidi w:val="0"/>
        <w:jc w:val="center"/>
        <w:rPr>
          <w:rFonts w:ascii="Times New Roman" w:hAnsi="Times New Roman"/>
          <w:color w:val="000000"/>
          <w:sz w:val="22"/>
        </w:rPr>
      </w:pPr>
      <w:r>
        <w:rPr>
          <w:rFonts w:ascii="Times New Roman" w:hAnsi="Times New Roman"/>
          <w:color w:val="000000"/>
          <w:sz w:val="22"/>
        </w:rPr>
        <w:t>-iii-</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 w:hAnsi="Times New Roman"/>
          <w:color w:val="000000"/>
          <w:sz w:val="22"/>
          <w:u w:val="single"/>
        </w:rPr>
      </w:pPr>
      <w:r>
        <w:rPr>
          <w:rFonts w:ascii="Times New Roman" w:hAnsi="Times New Roman"/>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7714"/>
        <w:gridCol w:w="2491"/>
      </w:tblGrid>
      <w:tr>
        <w:trPr/>
        <w:tc>
          <w:tcPr>
            <w:tcW w:w="7714"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ind w:left="0" w:right="0" w:firstLine="1980"/>
              <w:jc w:val="left"/>
              <w:rPr>
                <w:sz w:val="4"/>
                <w:szCs w:val="4"/>
              </w:rPr>
            </w:pPr>
            <w:r>
              <w:rPr>
                <w:sz w:val="4"/>
                <w:szCs w:val="4"/>
              </w:rPr>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9.11 Collateral and Guaranty Matters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160</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9.12 Other Agents; Arrangers and Managers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9.13 Appointment of Supplemental Administrative Agents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9.14 Withholding Tax</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162</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9.15 Cash Management Obligations; Secured Hedge Agreements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9.16 Erroneous Payments.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163</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980"/>
              <w:jc w:val="center"/>
              <w:rPr>
                <w:rFonts w:ascii="Times New Roman" w:hAnsi="Times New Roman"/>
                <w:color w:val="000000"/>
                <w:sz w:val="22"/>
              </w:rPr>
            </w:pPr>
            <w:r>
              <w:rPr>
                <w:rFonts w:ascii="Times New Roman" w:hAnsi="Times New Roman"/>
                <w:color w:val="000000"/>
                <w:sz w:val="22"/>
              </w:rPr>
              <w:t>Article X</w:t>
              <w:br/>
              <w:br/>
              <w:t>Miscellaneous</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10.01 Amendments, Etc.</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10.02 Notices and Other Communications; Facsimile Copies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168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10.03 No Waiver; Cumulative Remedies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10.04 Attorney Costs and Expenses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10.05 Indemnification by the Borrower</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10.06 Payments Set Aside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10.07 Successors and Assigns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10.08 Confidentiality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178</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10.09 Setoff</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179</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10.10 Counterparts; Electronic Execution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179</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10.11 Integration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180</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10.12 Survival of Representations and Warranties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180</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10.13 Severability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180</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10.14 GOVERNING LAW, JURISDICTION, SERVICE OF PROCESS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180</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10.15 WAIVER OF RIGHT TO TRIAL BY JURY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181</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10.16 Binding Effect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10.17 Judgment Currency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10.18 Lender Action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10.19 Know-Your-Customer, Etc.</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10.20 USA PATRIOT Act</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183</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10.21 Applicable Intercreditor Agreements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10.22 Obligations Absolute</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10.23 No Advisory or Fiduciary Responsibility</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184</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10.24 Electronic Execution of Assignments and Certain Other Documents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10.25 Acknowledgement and Consent to Bail-In of Affected Financial Institutions</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10.26 Lender Representation</w:t>
            </w:r>
          </w:p>
        </w:tc>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1980"/>
              <w:jc w:val="right"/>
              <w:rPr>
                <w:rFonts w:ascii="Times New Roman" w:hAnsi="Times New Roman"/>
                <w:color w:val="000000"/>
                <w:sz w:val="22"/>
              </w:rPr>
            </w:pPr>
            <w:r>
              <w:rPr>
                <w:rFonts w:ascii="Times New Roman" w:hAnsi="Times New Roman"/>
                <w:color w:val="000000"/>
                <w:sz w:val="22"/>
              </w:rPr>
              <w:t>185</w:t>
            </w:r>
          </w:p>
        </w:tc>
      </w:tr>
      <w:tr>
        <w:trPr/>
        <w:tc>
          <w:tcPr>
            <w:tcW w:w="7714" w:type="dxa"/>
            <w:tcBorders/>
            <w:shd w:fill="FFFFFF" w:val="clear"/>
            <w:tcMar>
              <w:top w:w="0" w:type="dxa"/>
              <w:left w:w="0" w:type="dxa"/>
              <w:bottom w:w="0" w:type="dxa"/>
              <w:right w:w="0" w:type="dxa"/>
            </w:tcMar>
            <w:vAlign w:val="center"/>
          </w:tcPr>
          <w:p>
            <w:pPr>
              <w:pStyle w:val="TableContents"/>
              <w:pBdr/>
              <w:bidi w:val="0"/>
              <w:spacing w:before="0" w:after="283"/>
              <w:ind w:left="0" w:right="0" w:hanging="1980"/>
              <w:jc w:val="left"/>
              <w:rPr>
                <w:rFonts w:ascii="Times New Roman" w:hAnsi="Times New Roman"/>
                <w:color w:val="000000"/>
                <w:sz w:val="22"/>
              </w:rPr>
            </w:pPr>
            <w:r>
              <w:rPr>
                <w:rFonts w:ascii="Times New Roman" w:hAnsi="Times New Roman"/>
                <w:color w:val="000000"/>
                <w:sz w:val="22"/>
              </w:rPr>
              <w:t>Section 10.27 Acknowledgment Regarding Any Supported QFCs</w:t>
            </w:r>
          </w:p>
        </w:tc>
        <w:tc>
          <w:tcPr>
            <w:tcW w:w="2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186</w:t>
            </w:r>
          </w:p>
        </w:tc>
      </w:tr>
    </w:tbl>
    <w:p>
      <w:pPr>
        <w:pStyle w:val="TextBody"/>
        <w:bidi w:val="0"/>
        <w:jc w:val="left"/>
        <w:rPr/>
      </w:pPr>
      <w:r>
        <w:rPr/>
        <w:t> </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SCHEDULES</w:t>
      </w:r>
    </w:p>
    <w:p>
      <w:pPr>
        <w:pStyle w:val="TextBody"/>
        <w:bidi w:val="0"/>
        <w:jc w:val="left"/>
        <w:rPr>
          <w:rFonts w:ascii="Times New Roman" w:hAnsi="Times New Roman"/>
          <w:color w:val="000000"/>
          <w:sz w:val="22"/>
        </w:rPr>
      </w:pPr>
      <w:r>
        <w:rPr>
          <w:rFonts w:ascii="Times New Roman" w:hAnsi="Times New Roman"/>
          <w:color w:val="000000"/>
          <w:sz w:val="22"/>
        </w:rPr>
        <w:t>1.01A — Certain Security Interests and Guarantees</w:t>
      </w:r>
    </w:p>
    <w:p>
      <w:pPr>
        <w:pStyle w:val="TextBody"/>
        <w:bidi w:val="0"/>
        <w:jc w:val="left"/>
        <w:rPr>
          <w:rFonts w:ascii="Times New Roman" w:hAnsi="Times New Roman"/>
          <w:color w:val="000000"/>
          <w:sz w:val="22"/>
        </w:rPr>
      </w:pPr>
      <w:r>
        <w:rPr>
          <w:rFonts w:ascii="Times New Roman" w:hAnsi="Times New Roman"/>
          <w:color w:val="000000"/>
          <w:sz w:val="22"/>
        </w:rPr>
        <w:t>1.01B — Unrestricted Subsidiaries</w:t>
      </w:r>
    </w:p>
    <w:p>
      <w:pPr>
        <w:pStyle w:val="TextBody"/>
        <w:bidi w:val="0"/>
        <w:jc w:val="left"/>
        <w:rPr>
          <w:rFonts w:ascii="Times New Roman" w:hAnsi="Times New Roman"/>
          <w:color w:val="000000"/>
          <w:sz w:val="22"/>
        </w:rPr>
      </w:pPr>
      <w:r>
        <w:rPr>
          <w:rFonts w:ascii="Times New Roman" w:hAnsi="Times New Roman"/>
          <w:color w:val="000000"/>
          <w:sz w:val="22"/>
        </w:rPr>
        <w:t>1.01C — Excluded Subsidiaries</w:t>
      </w:r>
    </w:p>
    <w:p>
      <w:pPr>
        <w:pStyle w:val="TextBody"/>
        <w:bidi w:val="0"/>
        <w:jc w:val="left"/>
        <w:rPr>
          <w:rFonts w:ascii="Times New Roman" w:hAnsi="Times New Roman"/>
          <w:color w:val="000000"/>
          <w:sz w:val="22"/>
        </w:rPr>
      </w:pPr>
      <w:r>
        <w:rPr>
          <w:rFonts w:ascii="Times New Roman" w:hAnsi="Times New Roman"/>
          <w:color w:val="000000"/>
          <w:sz w:val="22"/>
        </w:rPr>
        <w:t>1.01D — Guarantors</w:t>
      </w:r>
    </w:p>
    <w:p>
      <w:pPr>
        <w:pStyle w:val="TextBody"/>
        <w:bidi w:val="0"/>
        <w:jc w:val="left"/>
        <w:rPr>
          <w:rFonts w:ascii="Times New Roman" w:hAnsi="Times New Roman"/>
          <w:color w:val="000000"/>
          <w:sz w:val="22"/>
        </w:rPr>
      </w:pPr>
      <w:r>
        <w:rPr>
          <w:rFonts w:ascii="Times New Roman" w:hAnsi="Times New Roman"/>
          <w:color w:val="000000"/>
          <w:sz w:val="22"/>
        </w:rPr>
        <w:t>2.01 — Commitments</w:t>
      </w:r>
    </w:p>
    <w:p>
      <w:pPr>
        <w:pStyle w:val="TextBody"/>
        <w:bidi w:val="0"/>
        <w:jc w:val="left"/>
        <w:rPr>
          <w:rFonts w:ascii="Times New Roman" w:hAnsi="Times New Roman"/>
          <w:color w:val="000000"/>
          <w:sz w:val="22"/>
        </w:rPr>
      </w:pPr>
      <w:r>
        <w:rPr>
          <w:rFonts w:ascii="Times New Roman" w:hAnsi="Times New Roman"/>
          <w:color w:val="000000"/>
          <w:sz w:val="22"/>
        </w:rPr>
        <w:t>5.06 — Litigation</w:t>
      </w:r>
    </w:p>
    <w:p>
      <w:pPr>
        <w:pStyle w:val="TextBody"/>
        <w:bidi w:val="0"/>
        <w:jc w:val="left"/>
        <w:rPr>
          <w:rFonts w:ascii="Times New Roman" w:hAnsi="Times New Roman"/>
          <w:color w:val="000000"/>
          <w:sz w:val="22"/>
        </w:rPr>
      </w:pPr>
      <w:r>
        <w:rPr>
          <w:rFonts w:ascii="Times New Roman" w:hAnsi="Times New Roman"/>
          <w:color w:val="000000"/>
          <w:sz w:val="22"/>
        </w:rPr>
        <w:t>5.11 — Subsidiaries; Equity Interests</w:t>
      </w:r>
    </w:p>
    <w:p>
      <w:pPr>
        <w:pStyle w:val="TextBody"/>
        <w:bidi w:val="0"/>
        <w:jc w:val="left"/>
        <w:rPr>
          <w:rFonts w:ascii="Times New Roman" w:hAnsi="Times New Roman"/>
          <w:color w:val="000000"/>
          <w:sz w:val="22"/>
        </w:rPr>
      </w:pPr>
      <w:r>
        <w:rPr>
          <w:rFonts w:ascii="Times New Roman" w:hAnsi="Times New Roman"/>
          <w:color w:val="000000"/>
          <w:sz w:val="22"/>
        </w:rPr>
        <w:t>6.13 — Post-Closing Covenants</w:t>
      </w:r>
    </w:p>
    <w:p>
      <w:pPr>
        <w:pStyle w:val="TextBody"/>
        <w:bidi w:val="0"/>
        <w:jc w:val="left"/>
        <w:rPr>
          <w:rFonts w:ascii="Times New Roman" w:hAnsi="Times New Roman"/>
          <w:color w:val="000000"/>
          <w:sz w:val="22"/>
        </w:rPr>
      </w:pPr>
      <w:r>
        <w:rPr>
          <w:rFonts w:ascii="Times New Roman" w:hAnsi="Times New Roman"/>
          <w:color w:val="000000"/>
          <w:sz w:val="22"/>
        </w:rPr>
        <w:t>7.01(b) — Existing Liens</w:t>
      </w:r>
    </w:p>
    <w:p>
      <w:pPr>
        <w:pStyle w:val="TextBody"/>
        <w:bidi w:val="0"/>
        <w:jc w:val="center"/>
        <w:rPr>
          <w:rFonts w:ascii="Times New Roman" w:hAnsi="Times New Roman"/>
          <w:color w:val="000000"/>
          <w:sz w:val="22"/>
        </w:rPr>
      </w:pPr>
      <w:r>
        <w:rPr>
          <w:rFonts w:ascii="Times New Roman" w:hAnsi="Times New Roman"/>
          <w:color w:val="000000"/>
          <w:sz w:val="22"/>
        </w:rPr>
        <w:t>-iv-</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 w:hAnsi="Times New Roman"/>
          <w:color w:val="000000"/>
          <w:sz w:val="22"/>
          <w:u w:val="single"/>
        </w:rPr>
      </w:pPr>
      <w:r>
        <w:rPr>
          <w:rFonts w:ascii="Times New Roman" w:hAnsi="Times New Roman"/>
          <w:color w:val="000000"/>
          <w:sz w:val="22"/>
          <w:u w:val="single"/>
        </w:rPr>
        <w:t>Page</w:t>
      </w:r>
    </w:p>
    <w:p>
      <w:pPr>
        <w:pStyle w:val="TextBody"/>
        <w:bidi w:val="0"/>
        <w:jc w:val="left"/>
        <w:rPr>
          <w:rFonts w:ascii="Times New Roman" w:hAnsi="Times New Roman"/>
          <w:color w:val="000000"/>
          <w:sz w:val="22"/>
        </w:rPr>
      </w:pPr>
      <w:r>
        <w:rPr>
          <w:rFonts w:ascii="Times New Roman" w:hAnsi="Times New Roman"/>
          <w:color w:val="000000"/>
          <w:sz w:val="22"/>
        </w:rPr>
        <w:t>7.03(c) — Surviving Indebtedness</w:t>
      </w:r>
    </w:p>
    <w:p>
      <w:pPr>
        <w:pStyle w:val="TextBody"/>
        <w:bidi w:val="0"/>
        <w:jc w:val="left"/>
        <w:rPr>
          <w:rFonts w:ascii="Times New Roman" w:hAnsi="Times New Roman"/>
          <w:color w:val="000000"/>
          <w:sz w:val="22"/>
        </w:rPr>
      </w:pPr>
      <w:r>
        <w:rPr>
          <w:rFonts w:ascii="Times New Roman" w:hAnsi="Times New Roman"/>
          <w:color w:val="000000"/>
          <w:sz w:val="22"/>
        </w:rPr>
        <w:t>7.07 — Transactions with Affiliates</w:t>
      </w:r>
    </w:p>
    <w:p>
      <w:pPr>
        <w:pStyle w:val="TextBody"/>
        <w:bidi w:val="0"/>
        <w:jc w:val="left"/>
        <w:rPr>
          <w:rFonts w:ascii="Times New Roman" w:hAnsi="Times New Roman"/>
          <w:color w:val="000000"/>
          <w:sz w:val="22"/>
        </w:rPr>
      </w:pPr>
      <w:r>
        <w:rPr>
          <w:rFonts w:ascii="Times New Roman" w:hAnsi="Times New Roman"/>
          <w:color w:val="000000"/>
          <w:sz w:val="22"/>
        </w:rPr>
        <w:t>10.02 — Administrative Agent’s Office; Certain Addresses for Notices</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EXHIBITS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Form of</w:t>
      </w:r>
    </w:p>
    <w:p>
      <w:pPr>
        <w:pStyle w:val="TextBody"/>
        <w:bidi w:val="0"/>
        <w:jc w:val="left"/>
        <w:rPr>
          <w:rFonts w:ascii="Times New Roman" w:hAnsi="Times New Roman"/>
          <w:color w:val="000000"/>
          <w:sz w:val="22"/>
        </w:rPr>
      </w:pPr>
      <w:r>
        <w:rPr>
          <w:rFonts w:ascii="Times New Roman" w:hAnsi="Times New Roman"/>
          <w:color w:val="000000"/>
          <w:sz w:val="22"/>
        </w:rPr>
        <w:t>A — Committed Loan Notice</w:t>
      </w:r>
    </w:p>
    <w:p>
      <w:pPr>
        <w:pStyle w:val="TextBody"/>
        <w:bidi w:val="0"/>
        <w:jc w:val="left"/>
        <w:rPr>
          <w:rFonts w:ascii="Times New Roman" w:hAnsi="Times New Roman"/>
          <w:color w:val="000000"/>
          <w:sz w:val="22"/>
        </w:rPr>
      </w:pPr>
      <w:r>
        <w:rPr>
          <w:rFonts w:ascii="Times New Roman" w:hAnsi="Times New Roman"/>
          <w:color w:val="000000"/>
          <w:sz w:val="22"/>
        </w:rPr>
        <w:t>B — Swing Line Loan Notice</w:t>
      </w:r>
    </w:p>
    <w:p>
      <w:pPr>
        <w:pStyle w:val="TextBody"/>
        <w:bidi w:val="0"/>
        <w:jc w:val="left"/>
        <w:rPr>
          <w:rFonts w:ascii="Times New Roman" w:hAnsi="Times New Roman"/>
          <w:color w:val="000000"/>
          <w:sz w:val="22"/>
        </w:rPr>
      </w:pPr>
      <w:r>
        <w:rPr>
          <w:rFonts w:ascii="Times New Roman" w:hAnsi="Times New Roman"/>
          <w:color w:val="000000"/>
          <w:sz w:val="22"/>
        </w:rPr>
        <w:t>C-1 — Term Note</w:t>
      </w:r>
    </w:p>
    <w:p>
      <w:pPr>
        <w:pStyle w:val="TextBody"/>
        <w:bidi w:val="0"/>
        <w:jc w:val="left"/>
        <w:rPr>
          <w:rFonts w:ascii="Times New Roman" w:hAnsi="Times New Roman"/>
          <w:color w:val="000000"/>
          <w:sz w:val="22"/>
        </w:rPr>
      </w:pPr>
      <w:r>
        <w:rPr>
          <w:rFonts w:ascii="Times New Roman" w:hAnsi="Times New Roman"/>
          <w:color w:val="000000"/>
          <w:sz w:val="22"/>
        </w:rPr>
        <w:t>C-2 — Revolving Credit Note</w:t>
      </w:r>
    </w:p>
    <w:p>
      <w:pPr>
        <w:pStyle w:val="TextBody"/>
        <w:bidi w:val="0"/>
        <w:jc w:val="left"/>
        <w:rPr>
          <w:rFonts w:ascii="Times New Roman" w:hAnsi="Times New Roman"/>
          <w:color w:val="000000"/>
          <w:sz w:val="22"/>
        </w:rPr>
      </w:pPr>
      <w:r>
        <w:rPr>
          <w:rFonts w:ascii="Times New Roman" w:hAnsi="Times New Roman"/>
          <w:color w:val="000000"/>
          <w:sz w:val="22"/>
        </w:rPr>
        <w:t>D — Compliance Certificate</w:t>
      </w:r>
    </w:p>
    <w:p>
      <w:pPr>
        <w:pStyle w:val="TextBody"/>
        <w:bidi w:val="0"/>
        <w:jc w:val="left"/>
        <w:rPr>
          <w:rFonts w:ascii="Times New Roman" w:hAnsi="Times New Roman"/>
          <w:color w:val="000000"/>
          <w:sz w:val="22"/>
        </w:rPr>
      </w:pPr>
      <w:r>
        <w:rPr>
          <w:rFonts w:ascii="Times New Roman" w:hAnsi="Times New Roman"/>
          <w:color w:val="000000"/>
          <w:sz w:val="22"/>
        </w:rPr>
        <w:t>E — Assignment and Assumption</w:t>
      </w:r>
    </w:p>
    <w:p>
      <w:pPr>
        <w:pStyle w:val="TextBody"/>
        <w:bidi w:val="0"/>
        <w:jc w:val="left"/>
        <w:rPr>
          <w:rFonts w:ascii="Times New Roman" w:hAnsi="Times New Roman"/>
          <w:color w:val="000000"/>
          <w:sz w:val="22"/>
        </w:rPr>
      </w:pPr>
      <w:r>
        <w:rPr>
          <w:rFonts w:ascii="Times New Roman" w:hAnsi="Times New Roman"/>
          <w:color w:val="000000"/>
          <w:sz w:val="22"/>
        </w:rPr>
        <w:t>F — Guaranty</w:t>
      </w:r>
    </w:p>
    <w:p>
      <w:pPr>
        <w:pStyle w:val="TextBody"/>
        <w:bidi w:val="0"/>
        <w:jc w:val="left"/>
        <w:rPr>
          <w:rFonts w:ascii="Times New Roman" w:hAnsi="Times New Roman"/>
          <w:color w:val="000000"/>
          <w:sz w:val="22"/>
        </w:rPr>
      </w:pPr>
      <w:r>
        <w:rPr>
          <w:rFonts w:ascii="Times New Roman" w:hAnsi="Times New Roman"/>
          <w:color w:val="000000"/>
          <w:sz w:val="22"/>
        </w:rPr>
        <w:t>G-1 — [Reserved]</w:t>
      </w:r>
    </w:p>
    <w:p>
      <w:pPr>
        <w:pStyle w:val="TextBody"/>
        <w:bidi w:val="0"/>
        <w:jc w:val="left"/>
        <w:rPr>
          <w:rFonts w:ascii="Times New Roman" w:hAnsi="Times New Roman"/>
          <w:color w:val="000000"/>
          <w:sz w:val="22"/>
        </w:rPr>
      </w:pPr>
      <w:r>
        <w:rPr>
          <w:rFonts w:ascii="Times New Roman" w:hAnsi="Times New Roman"/>
          <w:color w:val="000000"/>
          <w:sz w:val="22"/>
        </w:rPr>
        <w:t>G-2 — [Reserved]</w:t>
      </w:r>
    </w:p>
    <w:p>
      <w:pPr>
        <w:pStyle w:val="TextBody"/>
        <w:bidi w:val="0"/>
        <w:jc w:val="left"/>
        <w:rPr>
          <w:rFonts w:ascii="Times New Roman" w:hAnsi="Times New Roman"/>
          <w:color w:val="000000"/>
          <w:sz w:val="22"/>
        </w:rPr>
      </w:pPr>
      <w:r>
        <w:rPr>
          <w:rFonts w:ascii="Times New Roman" w:hAnsi="Times New Roman"/>
          <w:color w:val="000000"/>
          <w:sz w:val="22"/>
        </w:rPr>
        <w:t>H — Security Agreement</w:t>
      </w:r>
    </w:p>
    <w:p>
      <w:pPr>
        <w:pStyle w:val="TextBody"/>
        <w:bidi w:val="0"/>
        <w:jc w:val="left"/>
        <w:rPr>
          <w:rFonts w:ascii="Times New Roman" w:hAnsi="Times New Roman"/>
          <w:color w:val="000000"/>
          <w:sz w:val="22"/>
        </w:rPr>
      </w:pPr>
      <w:r>
        <w:rPr>
          <w:rFonts w:ascii="Times New Roman" w:hAnsi="Times New Roman"/>
          <w:color w:val="000000"/>
          <w:sz w:val="22"/>
        </w:rPr>
        <w:t>I — Discounted Prepayment Option Notice</w:t>
      </w:r>
    </w:p>
    <w:p>
      <w:pPr>
        <w:pStyle w:val="TextBody"/>
        <w:bidi w:val="0"/>
        <w:jc w:val="left"/>
        <w:rPr>
          <w:rFonts w:ascii="Times New Roman" w:hAnsi="Times New Roman"/>
          <w:color w:val="000000"/>
          <w:sz w:val="22"/>
        </w:rPr>
      </w:pPr>
      <w:r>
        <w:rPr>
          <w:rFonts w:ascii="Times New Roman" w:hAnsi="Times New Roman"/>
          <w:color w:val="000000"/>
          <w:sz w:val="22"/>
        </w:rPr>
        <w:t>J — Lender Participation Notice</w:t>
      </w:r>
    </w:p>
    <w:p>
      <w:pPr>
        <w:pStyle w:val="TextBody"/>
        <w:bidi w:val="0"/>
        <w:jc w:val="left"/>
        <w:rPr>
          <w:rFonts w:ascii="Times New Roman" w:hAnsi="Times New Roman"/>
          <w:color w:val="000000"/>
          <w:sz w:val="22"/>
        </w:rPr>
      </w:pPr>
      <w:r>
        <w:rPr>
          <w:rFonts w:ascii="Times New Roman" w:hAnsi="Times New Roman"/>
          <w:color w:val="000000"/>
          <w:sz w:val="22"/>
        </w:rPr>
        <w:t>K — Discounted Voluntary Prepayment Notice</w:t>
      </w:r>
    </w:p>
    <w:p>
      <w:pPr>
        <w:pStyle w:val="TextBody"/>
        <w:bidi w:val="0"/>
        <w:jc w:val="left"/>
        <w:rPr>
          <w:rFonts w:ascii="Times New Roman" w:hAnsi="Times New Roman"/>
          <w:color w:val="000000"/>
          <w:sz w:val="22"/>
        </w:rPr>
      </w:pPr>
      <w:r>
        <w:rPr>
          <w:rFonts w:ascii="Times New Roman" w:hAnsi="Times New Roman"/>
          <w:color w:val="000000"/>
          <w:sz w:val="22"/>
        </w:rPr>
        <w:t>L — United States Tax Compliance Certificate</w:t>
      </w:r>
    </w:p>
    <w:p>
      <w:pPr>
        <w:pStyle w:val="TextBody"/>
        <w:bidi w:val="0"/>
        <w:jc w:val="left"/>
        <w:rPr>
          <w:rFonts w:ascii="Times New Roman" w:hAnsi="Times New Roman"/>
          <w:color w:val="000000"/>
          <w:sz w:val="22"/>
        </w:rPr>
      </w:pPr>
      <w:r>
        <w:rPr>
          <w:rFonts w:ascii="Times New Roman" w:hAnsi="Times New Roman"/>
          <w:color w:val="000000"/>
          <w:sz w:val="22"/>
        </w:rPr>
        <w:t>M — Solvency Certificate</w:t>
      </w:r>
    </w:p>
    <w:p>
      <w:pPr>
        <w:pStyle w:val="TextBody"/>
        <w:bidi w:val="0"/>
        <w:jc w:val="left"/>
        <w:rPr>
          <w:rFonts w:ascii="Times New Roman" w:hAnsi="Times New Roman"/>
          <w:color w:val="000000"/>
          <w:sz w:val="22"/>
        </w:rPr>
      </w:pPr>
      <w:r>
        <w:rPr>
          <w:rFonts w:ascii="Times New Roman" w:hAnsi="Times New Roman"/>
          <w:color w:val="000000"/>
          <w:sz w:val="22"/>
        </w:rPr>
        <w:t>N — Cash Management/Hedge Provider Agreement</w:t>
      </w:r>
    </w:p>
    <w:p>
      <w:pPr>
        <w:pStyle w:val="TextBody"/>
        <w:bidi w:val="0"/>
        <w:jc w:val="center"/>
        <w:rPr>
          <w:rFonts w:ascii="Times New Roman" w:hAnsi="Times New Roman"/>
          <w:color w:val="000000"/>
          <w:sz w:val="22"/>
        </w:rPr>
      </w:pPr>
      <w:r>
        <w:rPr>
          <w:rFonts w:ascii="Times New Roman" w:hAnsi="Times New Roman"/>
          <w:color w:val="000000"/>
          <w:sz w:val="22"/>
        </w:rPr>
        <w:t>-v-</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CREDIT AGREEMENT</w:t>
      </w:r>
    </w:p>
    <w:p>
      <w:pPr>
        <w:pStyle w:val="TextBody"/>
        <w:bidi w:val="0"/>
        <w:ind w:left="0" w:right="0" w:firstLine="720"/>
        <w:jc w:val="both"/>
        <w:rPr>
          <w:rFonts w:ascii="Times New Roman" w:hAnsi="Times New Roman"/>
          <w:sz w:val="20"/>
        </w:rPr>
      </w:pPr>
      <w:r>
        <w:rPr>
          <w:rFonts w:ascii="Times New Roman" w:hAnsi="Times New Roman"/>
          <w:color w:val="000000"/>
          <w:sz w:val="22"/>
        </w:rPr>
        <w:t>This CREDIT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entered into as of January 23, 2023, among SERVICETITAN, INC.,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WELLS FARGO BANK, NATIONAL ASSOCIATION (“</w:t>
      </w:r>
      <w:r>
        <w:rPr>
          <w:rFonts w:ascii="Times New Roman" w:hAnsi="Times New Roman"/>
          <w:color w:val="000000"/>
          <w:sz w:val="22"/>
          <w:u w:val="single"/>
        </w:rPr>
        <w:t>Wells Fargo</w:t>
      </w:r>
      <w:r>
        <w:rPr>
          <w:rFonts w:ascii="Times New Roman" w:hAnsi="Times New Roman"/>
          <w:color w:val="000000"/>
          <w:sz w:val="20"/>
        </w:rPr>
        <w:t>”</w:t>
      </w:r>
      <w:r>
        <w:rPr>
          <w:rFonts w:ascii="Times New Roman" w:hAnsi="Times New Roman"/>
          <w:color w:val="000000"/>
          <w:sz w:val="22"/>
        </w:rPr>
        <w:t>), as Administrative Agent and Collateral Agent, each lender from time to time party hereto (collectively, the “</w:t>
      </w:r>
      <w:r>
        <w:rPr>
          <w:rFonts w:ascii="Times New Roman" w:hAnsi="Times New Roman"/>
          <w:color w:val="000000"/>
          <w:sz w:val="22"/>
          <w:u w:val="single"/>
        </w:rPr>
        <w:t>Lenders</w:t>
      </w:r>
      <w:r>
        <w:rPr>
          <w:rFonts w:ascii="Times New Roman" w:hAnsi="Times New Roman"/>
          <w:color w:val="000000"/>
          <w:sz w:val="20"/>
        </w:rPr>
        <w:t xml:space="preserve">” </w:t>
      </w:r>
      <w:r>
        <w:rPr>
          <w:rFonts w:ascii="Times New Roman" w:hAnsi="Times New Roman"/>
          <w:color w:val="000000"/>
          <w:sz w:val="22"/>
        </w:rPr>
        <w:t>and individually, a “</w:t>
      </w:r>
      <w:r>
        <w:rPr>
          <w:rFonts w:ascii="Times New Roman" w:hAnsi="Times New Roman"/>
          <w:color w:val="000000"/>
          <w:sz w:val="22"/>
          <w:u w:val="single"/>
        </w:rPr>
        <w:t>Lender</w:t>
      </w:r>
      <w:r>
        <w:rPr>
          <w:rFonts w:ascii="Times New Roman" w:hAnsi="Times New Roman"/>
          <w:color w:val="000000"/>
          <w:sz w:val="20"/>
        </w:rPr>
        <w:t>”</w:t>
      </w:r>
      <w:r>
        <w:rPr>
          <w:rFonts w:ascii="Times New Roman" w:hAnsi="Times New Roman"/>
          <w:color w:val="000000"/>
          <w:sz w:val="22"/>
        </w:rPr>
        <w:t>), each Swing Line Lender and each L/C Issuer from time to time party hereto.</w:t>
      </w:r>
    </w:p>
    <w:p>
      <w:pPr>
        <w:pStyle w:val="TextBody"/>
        <w:bidi w:val="0"/>
        <w:jc w:val="both"/>
        <w:rPr/>
      </w:pPr>
      <w:r>
        <w:rPr/>
        <w:t> </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PRELIMINARY STATEMENTS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1. The Borrower has requested that the Lenders make available to them (i) the Initial Term Commitments and Initial Term Loans on the Closing Date in an initial aggregate principal amount of $180,000,000, on the terms and conditions set forth herein, which Initial Term Loans were fully repaid prior to the Second Amendment Effective Date and (ii) the Revolving Credit Commitments in an aggregate principal amount as of the Second Amendment Effective Date of $250,000,000 (the “</w:t>
      </w:r>
      <w:r>
        <w:rPr>
          <w:rFonts w:ascii="Times New Roman" w:hAnsi="Times New Roman"/>
          <w:color w:val="000000"/>
          <w:sz w:val="22"/>
          <w:u w:val="single"/>
        </w:rPr>
        <w:t>Revolving Credit Facility</w:t>
      </w:r>
      <w:r>
        <w:rPr>
          <w:rFonts w:ascii="Times New Roman" w:hAnsi="Times New Roman"/>
          <w:color w:val="000000"/>
          <w:sz w:val="20"/>
        </w:rPr>
        <w:t>”</w:t>
      </w:r>
      <w:r>
        <w:rPr>
          <w:rFonts w:ascii="Times New Roman" w:hAnsi="Times New Roman"/>
          <w:color w:val="000000"/>
          <w:sz w:val="22"/>
        </w:rPr>
        <w:t>). The Revolving Credit Facility may include one or more Swing Line Loans and one or more Letters of Credit from time to time.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 The proceeds of the Initial Term Loans, subject to the terms and conditions set forth herein, will be used by the Borrower to refinance existing Indebtedness, pay costs and expenses in connection with the Transactions and for working capital and other general corporate purposes not prohibited hereunder. The proceeds of Revolving Credit Loans, Letters of Credit and Swing Line Loans will be used by the Borrower and its Subsidiaries for working capital and other general corporate purposes of the Borrower and its Subsidiaries, including Capital Expenditures and the financing of Permitted Acquisitions, and any other purposes not prohibited by the terms of this Agreement.</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3. The applicable Lenders have indicated their willingness to lend, and each L/C Issuer has indicated its willingness to issue Letters of Credit, in each case, on the terms and subject to the conditions set forth herein.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consideration of the mutual covenants and agreements herein contained, the parties hereto covenant and agree as follows:</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I</w:t>
      </w:r>
      <w:r>
        <w:rPr>
          <w:rFonts w:ascii="Times New Roman" w:hAnsi="Times New Roman"/>
          <w:b w:val="false"/>
          <w:color w:val="000000"/>
          <w:sz w:val="22"/>
          <w:u w:val="single"/>
        </w:rPr>
        <w:br/>
        <w:br/>
        <w:t>Definitions and Accounting Terms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 </w:t>
      </w:r>
      <w:r>
        <w:rPr>
          <w:rFonts w:ascii="Times New Roman" w:hAnsi="Times New Roman"/>
          <w:b w:val="false"/>
          <w:color w:val="000000"/>
          <w:sz w:val="22"/>
          <w:u w:val="single"/>
        </w:rPr>
        <w:t>Defined Terms</w:t>
      </w:r>
      <w:r>
        <w:rPr>
          <w:rFonts w:ascii="Times New Roman" w:hAnsi="Times New Roman"/>
          <w:b w:val="false"/>
          <w:color w:val="000000"/>
          <w:sz w:val="22"/>
        </w:rPr>
        <w:t>. As used in this Agreement, the following terms shall have the meanings set forth below:</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Acceptable Discount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Acceptable Intercreditor Agreement</w:t>
      </w:r>
      <w:r>
        <w:rPr>
          <w:rFonts w:ascii="Times New Roman" w:hAnsi="Times New Roman"/>
          <w:color w:val="000000"/>
          <w:sz w:val="20"/>
        </w:rPr>
        <w:t xml:space="preserve">” </w:t>
      </w:r>
      <w:r>
        <w:rPr>
          <w:rFonts w:ascii="Times New Roman" w:hAnsi="Times New Roman"/>
          <w:color w:val="000000"/>
          <w:sz w:val="22"/>
        </w:rPr>
        <w:t>means a customary intercreditor agreement reasonably acceptable to the Administrative Agent and the Borrower, which have not been objected to by the Required Lenders within five (5) business days of having been posted (which if not objected to shall be deemed acceptable to the Required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Acceptance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Accounting Changes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1.03(d)</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Acquired EBITDA</w:t>
      </w:r>
      <w:r>
        <w:rPr>
          <w:rFonts w:ascii="Times New Roman" w:hAnsi="Times New Roman"/>
          <w:color w:val="000000"/>
          <w:sz w:val="20"/>
        </w:rPr>
        <w:t xml:space="preserve">” </w:t>
      </w:r>
      <w:r>
        <w:rPr>
          <w:rFonts w:ascii="Times New Roman" w:hAnsi="Times New Roman"/>
          <w:color w:val="000000"/>
          <w:sz w:val="22"/>
        </w:rPr>
        <w:t>means, with respect to any Acquired Entity or Business or any Converted Restricted Subsidiary for any period, the amount for such period of Consolidated EBITDA of such Acquired Entity or Business or Converted Restricted Subsidiary, as applicable, all as determined on a consolidated basis for such Acquired Entity or Business or Converted Restricted Subsidiary, as applicable.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Acquired Entity or Business</w:t>
      </w:r>
      <w:r>
        <w:rPr>
          <w:rFonts w:ascii="Times New Roman" w:hAnsi="Times New Roman"/>
          <w:color w:val="000000"/>
          <w:sz w:val="20"/>
        </w:rPr>
        <w:t xml:space="preserve">” </w:t>
      </w:r>
      <w:r>
        <w:rPr>
          <w:rFonts w:ascii="Times New Roman" w:hAnsi="Times New Roman"/>
          <w:color w:val="000000"/>
          <w:sz w:val="22"/>
        </w:rPr>
        <w:t>has the meaning specified in the definition of the term “Consolidated EBITDA.”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Acquisition</w:t>
      </w:r>
      <w:r>
        <w:rPr>
          <w:rFonts w:ascii="Times New Roman" w:hAnsi="Times New Roman"/>
          <w:color w:val="000000"/>
          <w:sz w:val="20"/>
        </w:rPr>
        <w:t xml:space="preserve">” </w:t>
      </w:r>
      <w:r>
        <w:rPr>
          <w:rFonts w:ascii="Times New Roman" w:hAnsi="Times New Roman"/>
          <w:color w:val="000000"/>
          <w:sz w:val="22"/>
        </w:rPr>
        <w:t>has the meaning specified in the Preliminary Statements to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Additional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Additional Revolving Credit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Adjusted Term SOFR Rate</w:t>
      </w:r>
      <w:r>
        <w:rPr>
          <w:rFonts w:ascii="Times New Roman" w:hAnsi="Times New Roman"/>
          <w:color w:val="000000"/>
          <w:sz w:val="20"/>
        </w:rPr>
        <w:t xml:space="preserve">” </w:t>
      </w:r>
      <w:r>
        <w:rPr>
          <w:rFonts w:ascii="Times New Roman" w:hAnsi="Times New Roman"/>
          <w:color w:val="000000"/>
          <w:sz w:val="22"/>
        </w:rPr>
        <w:t xml:space="preserve">means, for any Interest Period, an interest rate per annum equal to (a) Term SOFR for such Interest Period, plus (b) solely in the case of an Interest Period that equals or exceeds six months in duration, 0.15%;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Adjusted Term SOFR Rate as so determined would be less than the Floor, such rate shall be deemed to be equal to the Floor for the purposes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9.13</w:t>
      </w:r>
      <w:r>
        <w:rPr>
          <w:rFonts w:ascii="Times New Roman" w:hAnsi="Times New Roman"/>
          <w:color w:val="000000"/>
          <w:sz w:val="22"/>
        </w:rPr>
        <w:t xml:space="preserve">, Wells Fargo in its capacity as administrative agent under the Loan Documents, or any successor administrative agent appointed in accordance with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Administrative Agent’s Office</w:t>
      </w:r>
      <w:r>
        <w:rPr>
          <w:rFonts w:ascii="Times New Roman" w:hAnsi="Times New Roman"/>
          <w:color w:val="000000"/>
          <w:sz w:val="20"/>
        </w:rPr>
        <w:t xml:space="preserve">” </w:t>
      </w:r>
      <w:r>
        <w:rPr>
          <w:rFonts w:ascii="Times New Roman" w:hAnsi="Times New Roman"/>
          <w:color w:val="000000"/>
          <w:sz w:val="22"/>
        </w:rPr>
        <w:t xml:space="preserve">means the Administrative Agent’s address and, as appropriate, account as set forth on </w:t>
      </w:r>
      <w:r>
        <w:rPr>
          <w:rFonts w:ascii="Times New Roman" w:hAnsi="Times New Roman"/>
          <w:color w:val="000000"/>
          <w:sz w:val="22"/>
          <w:u w:val="single"/>
        </w:rPr>
        <w:t>Schedule 10.02</w:t>
      </w:r>
      <w:r>
        <w:rPr>
          <w:rFonts w:ascii="Times New Roman" w:hAnsi="Times New Roman"/>
          <w:color w:val="000000"/>
          <w:sz w:val="22"/>
        </w:rPr>
        <w:t>, or such other address or account as the Administrative Agent may from time to time notify the Borrower and the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means an Administrative Questionnaire in a form supplied by the Administrative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with respect to any Person, another Person that directly, or indirectly through one or more intermediaries, Controls or is Controlled by or is under common Control with the Person specified. “</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2"/>
          <w:u w:val="single"/>
        </w:rPr>
        <w:t>Controlling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Controlled</w:t>
      </w:r>
      <w:r>
        <w:rPr>
          <w:rFonts w:ascii="Times New Roman" w:hAnsi="Times New Roman"/>
          <w:color w:val="000000"/>
          <w:sz w:val="20"/>
        </w:rPr>
        <w:t xml:space="preserve">” </w:t>
      </w:r>
      <w:r>
        <w:rPr>
          <w:rFonts w:ascii="Times New Roman" w:hAnsi="Times New Roman"/>
          <w:color w:val="000000"/>
          <w:sz w:val="22"/>
        </w:rPr>
        <w:t>have meanings correlative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Agent-Related Persons</w:t>
      </w:r>
      <w:r>
        <w:rPr>
          <w:rFonts w:ascii="Times New Roman" w:hAnsi="Times New Roman"/>
          <w:color w:val="000000"/>
          <w:sz w:val="20"/>
        </w:rPr>
        <w:t xml:space="preserve">” </w:t>
      </w:r>
      <w:r>
        <w:rPr>
          <w:rFonts w:ascii="Times New Roman" w:hAnsi="Times New Roman"/>
          <w:color w:val="000000"/>
          <w:sz w:val="22"/>
        </w:rPr>
        <w:t>means the Agents, together with their respective Affiliates, and the officers, directors, employees, agents and attorneys-in-fact of such Persons and Affiliates.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Agent Parties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10.02(c)</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Agents</w:t>
      </w:r>
      <w:r>
        <w:rPr>
          <w:rFonts w:ascii="Times New Roman" w:hAnsi="Times New Roman"/>
          <w:color w:val="000000"/>
          <w:sz w:val="20"/>
        </w:rPr>
        <w:t xml:space="preserve">” </w:t>
      </w:r>
      <w:r>
        <w:rPr>
          <w:rFonts w:ascii="Times New Roman" w:hAnsi="Times New Roman"/>
          <w:color w:val="000000"/>
          <w:sz w:val="22"/>
        </w:rPr>
        <w:t>means, collectively, the Administrative Agent, the Collateral Agent, and the Supplemental Administrative Agents (if any).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Aggregate Commitments</w:t>
      </w:r>
      <w:r>
        <w:rPr>
          <w:rFonts w:ascii="Times New Roman" w:hAnsi="Times New Roman"/>
          <w:color w:val="000000"/>
          <w:sz w:val="20"/>
        </w:rPr>
        <w:t xml:space="preserve">” </w:t>
      </w:r>
      <w:r>
        <w:rPr>
          <w:rFonts w:ascii="Times New Roman" w:hAnsi="Times New Roman"/>
          <w:color w:val="000000"/>
          <w:sz w:val="22"/>
        </w:rPr>
        <w:t>means the Commitments of all the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has the meaning specified in the introductory paragraph 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Agreement Currency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10.17</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means all laws, rules and regulations of any jurisdiction applicable to the Borrower or their respective Subsidiaries from time to time concerning or relating to the prohibition of bribery or corruption (including the FCPA) or money laundering, any predicate crime to money laundering, or any financial record keeping and reporting requirements related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Applicable Discount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Applicable Lending Office</w:t>
      </w:r>
      <w:r>
        <w:rPr>
          <w:rFonts w:ascii="Times New Roman" w:hAnsi="Times New Roman"/>
          <w:color w:val="000000"/>
          <w:sz w:val="20"/>
        </w:rPr>
        <w:t xml:space="preserve">” </w:t>
      </w:r>
      <w:r>
        <w:rPr>
          <w:rFonts w:ascii="Times New Roman" w:hAnsi="Times New Roman"/>
          <w:color w:val="000000"/>
          <w:sz w:val="22"/>
        </w:rPr>
        <w:t>means for any Lender, such Lender’s office, branch or affiliate designated for SOFR Loans, Base Rate Loans, L/C Advances, Swing Line Loans or Letters of Credit, as applicable, as notified to the Administrative Agent, any of which offices may be changed by such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means, at any time (a) with respect to any Lender with a Commitment of any Class, the percentage equal to a fraction the numerator of which is the amount of such Lender’s Commitment of such Class at such time and the denominator of which is the aggregate amount of all Commitments of such Class of all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Commitments under any Revolving Credit Facility have terminated or expired, the Applicable Percentages of the Lenders under such Revolving Credit Facility shall be determined based upon the Revolving Credit Commitments thereunder most recently in effect) and (b) with respect to the Loans of any Class, a percentage equal to a fraction the numerator of which is such Lender’s Outstanding Amount of the Loans of such Class and the denominator of which is the aggregate Outstanding Amount of all Loans of such Class.</w:t>
      </w:r>
    </w:p>
    <w:p>
      <w:pPr>
        <w:pStyle w:val="TextBody"/>
        <w:bidi w:val="0"/>
        <w:ind w:left="0" w:right="0" w:firstLine="720"/>
        <w:jc w:val="both"/>
        <w:rPr/>
      </w:pPr>
      <w:r>
        <w:rPr>
          <w:color w:val="000000"/>
        </w:rPr>
        <w:t>“</w:t>
      </w:r>
      <w:r>
        <w:rPr>
          <w:rFonts w:ascii="Times New Roman" w:hAnsi="Times New Roman"/>
          <w:color w:val="000000"/>
          <w:sz w:val="22"/>
          <w:u w:val="single"/>
        </w:rPr>
        <w:t>Applicable Rate</w:t>
      </w:r>
      <w:r>
        <w:rPr>
          <w:rFonts w:ascii="Times New Roman" w:hAnsi="Times New Roman"/>
          <w:color w:val="000000"/>
          <w:sz w:val="20"/>
        </w:rPr>
        <w:t xml:space="preserve">” </w:t>
      </w:r>
      <w:r>
        <w:rPr>
          <w:rFonts w:ascii="Times New Roman" w:hAnsi="Times New Roman"/>
          <w:color w:val="000000"/>
          <w:sz w:val="22"/>
        </w:rPr>
        <w:t>means a percentage per annum equal to, in the case of SOFR Loans, Base Rate Loans and the Letter of Credit fees, the percentage set forth in the following table that corresponds to the most recent Total Net Leverage Ratio calculation delivered to Administrative Agent pursuant to Section 6.02(a) of this Agreement (the “</w:t>
      </w:r>
      <w:r>
        <w:rPr>
          <w:rFonts w:ascii="Times New Roman" w:hAnsi="Times New Roman"/>
          <w:color w:val="000000"/>
          <w:sz w:val="22"/>
          <w:u w:val="single"/>
        </w:rPr>
        <w:t>Total Net Leverage Ratio Calculation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for the period from Second Amendment Effective Date through the date Administrative Agent receives the Total Net Leverage Ratio Calculation in respect of the period ending April 30, 2026, the Applicable Rate shall be set at the margin in the row styled “Level I”:</w:t>
      </w:r>
      <w:r>
        <w:rPr>
          <w:rFonts w:ascii="Times New Roman" w:hAnsi="Times New Roman"/>
          <w:color w:val="000000"/>
          <w:sz w:val="20"/>
        </w:rPr>
        <w:t xml:space="preserve"> </w:t>
      </w:r>
    </w:p>
    <w:p>
      <w:pPr>
        <w:pStyle w:val="TextBody"/>
        <w:bidi w:val="0"/>
        <w:ind w:left="0" w:right="0" w:firstLine="72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2464"/>
        <w:gridCol w:w="2479"/>
        <w:gridCol w:w="2789"/>
        <w:gridCol w:w="1827"/>
      </w:tblGrid>
      <w:tr>
        <w:trPr/>
        <w:tc>
          <w:tcPr>
            <w:tcW w:w="646"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r>
      <w:tr>
        <w:trPr/>
        <w:tc>
          <w:tcPr>
            <w:tcW w:w="6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Level</w:t>
            </w:r>
          </w:p>
        </w:tc>
        <w:tc>
          <w:tcPr>
            <w:tcW w:w="246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Total Net Leverage Ratio</w:t>
            </w:r>
          </w:p>
        </w:tc>
        <w:tc>
          <w:tcPr>
            <w:tcW w:w="247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SOFR Loan Applicable Rate</w:t>
            </w:r>
          </w:p>
        </w:tc>
        <w:tc>
          <w:tcPr>
            <w:tcW w:w="278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Base Rate Loan Applicable Rate</w:t>
            </w:r>
          </w:p>
        </w:tc>
        <w:tc>
          <w:tcPr>
            <w:tcW w:w="182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Letter of Credit Fees</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III</w:t>
            </w:r>
          </w:p>
        </w:tc>
        <w:tc>
          <w:tcPr>
            <w:tcW w:w="24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&gt; 3.00:1.00</w:t>
            </w:r>
          </w:p>
        </w:tc>
        <w:tc>
          <w:tcPr>
            <w:tcW w:w="24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2.00%</w:t>
            </w:r>
          </w:p>
        </w:tc>
        <w:tc>
          <w:tcPr>
            <w:tcW w:w="27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1.00%</w:t>
            </w:r>
          </w:p>
        </w:tc>
        <w:tc>
          <w:tcPr>
            <w:tcW w:w="1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2.00%</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II</w:t>
            </w:r>
          </w:p>
        </w:tc>
        <w:tc>
          <w:tcPr>
            <w:tcW w:w="24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22"/>
              </w:rPr>
              <w:t xml:space="preserve">&gt; 2.00:1.00 and </w:t>
            </w:r>
            <w:r>
              <w:rPr>
                <w:rFonts w:ascii="Times New Roman" w:hAnsi="Times New Roman"/>
                <w:color w:val="000000"/>
                <w:sz w:val="22"/>
                <w:u w:val="single"/>
              </w:rPr>
              <w:t>&lt;</w:t>
            </w:r>
            <w:r>
              <w:rPr>
                <w:rFonts w:ascii="Times New Roman" w:hAnsi="Times New Roman"/>
                <w:color w:val="000000"/>
                <w:sz w:val="22"/>
              </w:rPr>
              <w:t> 3.00:1.00</w:t>
            </w:r>
          </w:p>
        </w:tc>
        <w:tc>
          <w:tcPr>
            <w:tcW w:w="24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1.75%</w:t>
            </w:r>
          </w:p>
        </w:tc>
        <w:tc>
          <w:tcPr>
            <w:tcW w:w="27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0.75%</w:t>
            </w:r>
          </w:p>
        </w:tc>
        <w:tc>
          <w:tcPr>
            <w:tcW w:w="1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1.75%</w:t>
            </w:r>
          </w:p>
        </w:tc>
      </w:tr>
      <w:tr>
        <w:trPr/>
        <w:tc>
          <w:tcPr>
            <w:tcW w:w="64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I</w:t>
            </w:r>
          </w:p>
        </w:tc>
        <w:tc>
          <w:tcPr>
            <w:tcW w:w="24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sz w:val="22"/>
              </w:rPr>
            </w:pPr>
            <w:r>
              <w:rPr>
                <w:rFonts w:ascii="Times New Roman" w:hAnsi="Times New Roman"/>
                <w:color w:val="000000"/>
                <w:sz w:val="22"/>
                <w:u w:val="single"/>
              </w:rPr>
              <w:t>&lt;</w:t>
            </w:r>
            <w:r>
              <w:rPr>
                <w:rFonts w:ascii="Times New Roman" w:hAnsi="Times New Roman"/>
                <w:color w:val="000000"/>
                <w:sz w:val="22"/>
              </w:rPr>
              <w:t> 2.00:1.00</w:t>
            </w:r>
          </w:p>
        </w:tc>
        <w:tc>
          <w:tcPr>
            <w:tcW w:w="247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1.50%</w:t>
            </w:r>
          </w:p>
        </w:tc>
        <w:tc>
          <w:tcPr>
            <w:tcW w:w="27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0.50%</w:t>
            </w:r>
          </w:p>
        </w:tc>
        <w:tc>
          <w:tcPr>
            <w:tcW w:w="1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center"/>
              <w:rPr>
                <w:rFonts w:ascii="Times New Roman" w:hAnsi="Times New Roman"/>
                <w:color w:val="000000"/>
                <w:sz w:val="22"/>
              </w:rPr>
            </w:pPr>
            <w:r>
              <w:rPr>
                <w:rFonts w:ascii="Times New Roman" w:hAnsi="Times New Roman"/>
                <w:color w:val="000000"/>
                <w:sz w:val="22"/>
              </w:rPr>
              <w:t>1.50%</w:t>
            </w:r>
          </w:p>
        </w:tc>
      </w:tr>
    </w:tbl>
    <w:p>
      <w:pPr>
        <w:pStyle w:val="TextBody"/>
        <w:bidi w:val="0"/>
        <w:ind w:left="0" w:right="0" w:firstLine="720"/>
        <w:jc w:val="left"/>
        <w:rPr/>
      </w:pPr>
      <w:r>
        <w:rPr/>
        <w:t> </w:t>
      </w:r>
    </w:p>
    <w:p>
      <w:pPr>
        <w:pStyle w:val="TextBody"/>
        <w:bidi w:val="0"/>
        <w:jc w:val="left"/>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 xml:space="preserve">The Applicable Rate shall be based upon the most recent Total Net Leverage Ratio Calculation, which will be calculated as of the end of each fiscal quarter. Except as set forth in the foregoing proviso, the Applicable Rate shall be redetermined quarterly on the first day of the month following the date of delivery to Administrative Agent of the certified calculation of the Total Net Leverage Ratio pursuant to Section 6.02(a) of this Agreement; </w:t>
      </w:r>
      <w:r>
        <w:rPr>
          <w:rFonts w:ascii="Times New Roman" w:hAnsi="Times New Roman"/>
          <w:color w:val="000000"/>
          <w:sz w:val="22"/>
          <w:u w:val="single"/>
        </w:rPr>
        <w:t>provided</w:t>
      </w:r>
      <w:r>
        <w:rPr>
          <w:rFonts w:ascii="Times New Roman" w:hAnsi="Times New Roman"/>
          <w:color w:val="000000"/>
          <w:sz w:val="22"/>
        </w:rPr>
        <w:t>, that if Borrower fails to provide such certification when such certification is due, the Applicable Rate shall be set at the margin in the row styled “Level III” as of the first day of the month following the date on which the certification was required to be delivered until the date on which such certification is delivered (on which date (but not retroactively), without constituting a</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both"/>
        <w:rPr>
          <w:rFonts w:ascii="Times New Roman" w:hAnsi="Times New Roman"/>
          <w:sz w:val="20"/>
        </w:rPr>
      </w:pPr>
      <w:r>
        <w:rPr>
          <w:rFonts w:ascii="Times New Roman" w:hAnsi="Times New Roman"/>
          <w:color w:val="000000"/>
          <w:sz w:val="22"/>
        </w:rPr>
        <w:t>waiver of any Default or Event of Default occasioned by the failure to timely deliver such certification, the Applicable Rate shall be set at the margin based upon the calculations disclosed by such certification. In the event that the information regarding the Total Net Leverage Ratio contained in any certificate delivered pursuant to Section 6.02(a) of this Agreement is shown to be inaccurate, and such inaccuracy, if corrected, would have led to the application of a higher Applicable Rate for any period (an “</w:t>
      </w:r>
      <w:r>
        <w:rPr>
          <w:rFonts w:ascii="Times New Roman" w:hAnsi="Times New Roman"/>
          <w:color w:val="000000"/>
          <w:sz w:val="22"/>
          <w:u w:val="single"/>
        </w:rPr>
        <w:t>Applicable Period</w:t>
      </w:r>
      <w:r>
        <w:rPr>
          <w:rFonts w:ascii="Times New Roman" w:hAnsi="Times New Roman"/>
          <w:color w:val="000000"/>
          <w:sz w:val="20"/>
        </w:rPr>
        <w:t>”</w:t>
      </w:r>
      <w:r>
        <w:rPr>
          <w:rFonts w:ascii="Times New Roman" w:hAnsi="Times New Roman"/>
          <w:color w:val="000000"/>
          <w:sz w:val="22"/>
        </w:rPr>
        <w:t>) than the Applicable Rate actually applied for such Applicable Period, then (i) Borrower shall immediately deliver to the Administrative Agent a correct certificate for such Applicable Period, (ii) the Applicable Rate shall be determined as if the correct Applicable Rate (as set forth in the table above) were applicable for such Applicable Period, and (iii) Borrower shall promptly deliver to the Administrative Agent full payment in respect of the accrued additional interest (after receipt of the calculation thereof from the Administrative Agent) as a result of such increased Applicable Rate for such Applicable Period, which payment shall be promptly applied by the Administrative Agent to the affected Obligations.</w:t>
      </w:r>
    </w:p>
    <w:p>
      <w:pPr>
        <w:pStyle w:val="TextBody"/>
        <w:bidi w:val="0"/>
        <w:ind w:left="0" w:right="0" w:firstLine="720"/>
        <w:jc w:val="left"/>
        <w:rPr/>
      </w:pPr>
      <w:r>
        <w:rPr/>
        <w:t> </w:t>
      </w:r>
    </w:p>
    <w:p>
      <w:pPr>
        <w:pStyle w:val="TextBody"/>
        <w:bidi w:val="0"/>
        <w:ind w:left="0" w:right="0" w:firstLine="720"/>
        <w:jc w:val="both"/>
        <w:rPr>
          <w:rFonts w:ascii="Times New Roman" w:hAnsi="Times New Roman"/>
          <w:sz w:val="20"/>
        </w:rPr>
      </w:pPr>
      <w:r>
        <w:rPr>
          <w:rFonts w:ascii="Times New Roman" w:hAnsi="Times New Roman"/>
          <w:color w:val="000000"/>
          <w:sz w:val="22"/>
        </w:rPr>
        <w:t xml:space="preserve">Notwithstanding the foregoing, the Applicable Rate in respect of any Class of Extended Revolving Credit Commitments or any Extended Term Loans or Revolving Credit Loans made pursuant to any Extended Revolving Credit Commitments shall be the applicable percentages </w:t>
      </w:r>
      <w:r>
        <w:rPr>
          <w:rFonts w:ascii="Times New Roman" w:hAnsi="Times New Roman"/>
          <w:i/>
          <w:color w:val="000000"/>
          <w:sz w:val="22"/>
        </w:rPr>
        <w:t xml:space="preserve">per annum </w:t>
      </w:r>
      <w:r>
        <w:rPr>
          <w:rFonts w:ascii="Times New Roman" w:hAnsi="Times New Roman"/>
          <w:color w:val="000000"/>
          <w:sz w:val="22"/>
        </w:rPr>
        <w:t>set forth in the relevant Extension Offer.</w:t>
      </w:r>
    </w:p>
    <w:p>
      <w:pPr>
        <w:pStyle w:val="TextBody"/>
        <w:bidi w:val="0"/>
        <w:ind w:left="0" w:right="0" w:firstLine="72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Appropriate Lender</w:t>
      </w:r>
      <w:r>
        <w:rPr>
          <w:rFonts w:ascii="Times New Roman" w:hAnsi="Times New Roman"/>
          <w:color w:val="000000"/>
          <w:sz w:val="20"/>
        </w:rPr>
        <w:t xml:space="preserve">” </w:t>
      </w:r>
      <w:r>
        <w:rPr>
          <w:rFonts w:ascii="Times New Roman" w:hAnsi="Times New Roman"/>
          <w:color w:val="000000"/>
          <w:sz w:val="22"/>
        </w:rPr>
        <w:t xml:space="preserve">means, at any time, (a) with respect to Loans of any Class, the Lenders of such Class, (b) with respect to any Letters of Credit, (i) the relevant L/C Issuer and (ii) the Revolving Credit Lenders and, (c) with respect to the Swing Line Loans, (i) the Swing Line Lender and (ii) if any Swing Line Loans are outstanding pursuant to </w:t>
      </w:r>
      <w:r>
        <w:rPr>
          <w:rFonts w:ascii="Times New Roman" w:hAnsi="Times New Roman"/>
          <w:color w:val="000000"/>
          <w:sz w:val="22"/>
          <w:u w:val="single"/>
        </w:rPr>
        <w:t>Section 2.04(a)</w:t>
      </w:r>
      <w:r>
        <w:rPr>
          <w:rFonts w:ascii="Times New Roman" w:hAnsi="Times New Roman"/>
          <w:color w:val="000000"/>
          <w:sz w:val="22"/>
        </w:rPr>
        <w:t>, the Revolving Credit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Approved Foreign Bank</w:t>
      </w:r>
      <w:r>
        <w:rPr>
          <w:rFonts w:ascii="Times New Roman" w:hAnsi="Times New Roman"/>
          <w:color w:val="000000"/>
          <w:sz w:val="20"/>
        </w:rPr>
        <w:t xml:space="preserve">” </w:t>
      </w:r>
      <w:r>
        <w:rPr>
          <w:rFonts w:ascii="Times New Roman" w:hAnsi="Times New Roman"/>
          <w:color w:val="000000"/>
          <w:sz w:val="22"/>
        </w:rPr>
        <w:t>has the meaning specified in the definition of “Cash Equivalents.”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means, with respect to any Lender, any Fund that is administered, advised or managed by (a) such Lender, (b) an Affiliate of such Lender or (c) an entity or an Affiliate of an entity that administers, advises or manages such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Asset Percentage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Assignees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Assignment and Assumption</w:t>
      </w:r>
      <w:r>
        <w:rPr>
          <w:rFonts w:ascii="Times New Roman" w:hAnsi="Times New Roman"/>
          <w:color w:val="000000"/>
          <w:sz w:val="20"/>
        </w:rPr>
        <w:t xml:space="preserve">” </w:t>
      </w:r>
      <w:r>
        <w:rPr>
          <w:rFonts w:ascii="Times New Roman" w:hAnsi="Times New Roman"/>
          <w:color w:val="000000"/>
          <w:sz w:val="22"/>
        </w:rPr>
        <w:t xml:space="preserve">means (a) an Assignment and Assumption substantially in the form of </w:t>
      </w:r>
      <w:r>
        <w:rPr>
          <w:rFonts w:ascii="Times New Roman" w:hAnsi="Times New Roman"/>
          <w:color w:val="000000"/>
          <w:sz w:val="22"/>
          <w:u w:val="single"/>
        </w:rPr>
        <w:t>Exhibit E</w:t>
      </w:r>
      <w:r>
        <w:rPr>
          <w:rFonts w:ascii="Times New Roman" w:hAnsi="Times New Roman"/>
          <w:color w:val="000000"/>
          <w:sz w:val="20"/>
        </w:rPr>
        <w:t xml:space="preserve"> </w:t>
      </w:r>
      <w:r>
        <w:rPr>
          <w:rFonts w:ascii="Times New Roman" w:hAnsi="Times New Roman"/>
          <w:color w:val="000000"/>
          <w:sz w:val="22"/>
        </w:rPr>
        <w:t xml:space="preserve">and (b) in the case of any assignment of Term Loans in connection with a Permitted Debt Exchange conducted in accordance with </w:t>
      </w:r>
      <w:r>
        <w:rPr>
          <w:rFonts w:ascii="Times New Roman" w:hAnsi="Times New Roman"/>
          <w:color w:val="000000"/>
          <w:sz w:val="22"/>
          <w:u w:val="single"/>
        </w:rPr>
        <w:t>Section 2.17</w:t>
      </w:r>
      <w:r>
        <w:rPr>
          <w:rFonts w:ascii="Times New Roman" w:hAnsi="Times New Roman"/>
          <w:color w:val="000000"/>
          <w:sz w:val="22"/>
        </w:rPr>
        <w:t xml:space="preserve">, such form of assignment (if any) as may have been requested by the Administrative Agent in accordance with </w:t>
      </w:r>
      <w:r>
        <w:rPr>
          <w:rFonts w:ascii="Times New Roman" w:hAnsi="Times New Roman"/>
          <w:color w:val="000000"/>
          <w:sz w:val="22"/>
          <w:u w:val="single"/>
        </w:rPr>
        <w:t>Section 2.17(a)(viii)</w:t>
      </w:r>
      <w:r>
        <w:rPr>
          <w:rFonts w:ascii="Times New Roman" w:hAnsi="Times New Roman"/>
          <w:color w:val="000000"/>
          <w:sz w:val="20"/>
        </w:rPr>
        <w:t xml:space="preserve"> </w:t>
      </w:r>
      <w:r>
        <w:rPr>
          <w:rFonts w:ascii="Times New Roman" w:hAnsi="Times New Roman"/>
          <w:color w:val="000000"/>
          <w:sz w:val="22"/>
        </w:rPr>
        <w:t>or, in each case, any other form (including electronic documentation generated by an electronic platform) approved by the Administrative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Attorney Costs</w:t>
      </w:r>
      <w:r>
        <w:rPr>
          <w:rFonts w:ascii="Times New Roman" w:hAnsi="Times New Roman"/>
          <w:color w:val="000000"/>
          <w:sz w:val="20"/>
        </w:rPr>
        <w:t xml:space="preserve">” </w:t>
      </w:r>
      <w:r>
        <w:rPr>
          <w:rFonts w:ascii="Times New Roman" w:hAnsi="Times New Roman"/>
          <w:color w:val="000000"/>
          <w:sz w:val="22"/>
        </w:rPr>
        <w:t>means and includes all reasonable fees, expenses and disbursements of any law firm or other external legal counsel.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Attributable Indebtedness</w:t>
      </w:r>
      <w:r>
        <w:rPr>
          <w:rFonts w:ascii="Times New Roman" w:hAnsi="Times New Roman"/>
          <w:color w:val="000000"/>
          <w:sz w:val="20"/>
        </w:rPr>
        <w:t xml:space="preserve">” </w:t>
      </w:r>
      <w:r>
        <w:rPr>
          <w:rFonts w:ascii="Times New Roman" w:hAnsi="Times New Roman"/>
          <w:color w:val="000000"/>
          <w:sz w:val="22"/>
        </w:rPr>
        <w:t>means, on any date, in respect of any Capitalized Lease of any Person, the capitalized amount thereof that would appear on a balance sheet of such Person prepared as of such date in accordance with GAAP.</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Auction Agent</w:t>
      </w:r>
      <w:r>
        <w:rPr>
          <w:rFonts w:ascii="Times New Roman" w:hAnsi="Times New Roman"/>
          <w:color w:val="000000"/>
          <w:sz w:val="20"/>
        </w:rPr>
        <w:t xml:space="preserve">” </w:t>
      </w:r>
      <w:r>
        <w:rPr>
          <w:rFonts w:ascii="Times New Roman" w:hAnsi="Times New Roman"/>
          <w:color w:val="000000"/>
          <w:sz w:val="22"/>
        </w:rPr>
        <w:t xml:space="preserve">means any financial institution or advisor employed by the Borrower to act as an arranger in connection with any Discounted Voluntary Prepayment pursuant to </w:t>
      </w:r>
      <w:r>
        <w:rPr>
          <w:rFonts w:ascii="Times New Roman" w:hAnsi="Times New Roman"/>
          <w:color w:val="000000"/>
          <w:sz w:val="22"/>
          <w:u w:val="single"/>
        </w:rPr>
        <w:t>Section 2.05(d)</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shall not designate the Administrative Agent as the Auction Agent without the written consent of the Administrative Agent (it being understood that the Administrative Agent shall be under no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obligation to agree to act as the Auction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neither the Borrower nor any of its Affiliates may act as the Auction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Auto-Renewal Letter of Credit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Available Amount</w:t>
      </w:r>
      <w:r>
        <w:rPr>
          <w:rFonts w:ascii="Times New Roman" w:hAnsi="Times New Roman"/>
          <w:color w:val="000000"/>
          <w:sz w:val="20"/>
        </w:rPr>
        <w:t xml:space="preserve">” </w:t>
      </w:r>
      <w:r>
        <w:rPr>
          <w:rFonts w:ascii="Times New Roman" w:hAnsi="Times New Roman"/>
          <w:color w:val="000000"/>
          <w:sz w:val="22"/>
        </w:rPr>
        <w:t>means at any time (the “</w:t>
      </w:r>
      <w:r>
        <w:rPr>
          <w:rFonts w:ascii="Times New Roman" w:hAnsi="Times New Roman"/>
          <w:color w:val="000000"/>
          <w:sz w:val="22"/>
          <w:u w:val="single"/>
        </w:rPr>
        <w:t>Available Amount Reference Time</w:t>
      </w:r>
      <w:r>
        <w:rPr>
          <w:rFonts w:ascii="Times New Roman" w:hAnsi="Times New Roman"/>
          <w:color w:val="000000"/>
          <w:sz w:val="20"/>
        </w:rPr>
        <w:t>”</w:t>
      </w:r>
      <w:r>
        <w:rPr>
          <w:rFonts w:ascii="Times New Roman" w:hAnsi="Times New Roman"/>
          <w:color w:val="000000"/>
          <w:sz w:val="22"/>
        </w:rPr>
        <w:t>), an amount (which shall not be less than zero) equal to the sum 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 the greater of (i) $30,000,000 and (ii) 30% of Consolidated EBITDA for the most recently ended Test Period calculated on a Pro Forma Basis; </w:t>
      </w:r>
      <w:r>
        <w:rPr>
          <w:rFonts w:ascii="Times New Roman" w:hAnsi="Times New Roman"/>
          <w:color w:val="000000"/>
          <w:sz w:val="22"/>
          <w:u w:val="single"/>
        </w:rPr>
        <w:t>plus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(ii) [reserved]; </w:t>
      </w:r>
      <w:r>
        <w:rPr>
          <w:rFonts w:ascii="Times New Roman" w:hAnsi="Times New Roman"/>
          <w:color w:val="000000"/>
          <w:sz w:val="22"/>
          <w:u w:val="single"/>
        </w:rPr>
        <w:t>plus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(iii) the amount of any cash capital contributions (including as a result of mergers, amalgamations or consolidations that have a similar effect) or Net Cash Proceeds from any Permitted Equity Issuance (or issuance of debt securities by the Borrower or any of its Restricted Subsidiaries that have been converted into or exchanged for Qualified Equity Interests of the Borrower or any direct or indirect parent thereof) (other than any Cure Amount, any Excluded Contribution Amount, or any other capital contributions) received by or made to the Borrower (or any direct or indirect parent thereof and contributed by such parent to the Borrower) during the period from and including the Business Day immediately following the Closing Date through and including the Available Amount Reference Time; </w:t>
      </w:r>
      <w:r>
        <w:rPr>
          <w:rFonts w:ascii="Times New Roman" w:hAnsi="Times New Roman"/>
          <w:color w:val="000000"/>
          <w:sz w:val="22"/>
          <w:u w:val="single"/>
        </w:rPr>
        <w:t>plus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(iv) the aggregate amount of Retained Declined Proceeds during the period from the Business Day immediately following the Closing Date through and including the Available Amount Reference Time; </w:t>
      </w:r>
      <w:r>
        <w:rPr>
          <w:rFonts w:ascii="Times New Roman" w:hAnsi="Times New Roman"/>
          <w:color w:val="000000"/>
          <w:sz w:val="22"/>
          <w:u w:val="single"/>
        </w:rPr>
        <w:t>plus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(v) [reserved]; </w:t>
      </w:r>
      <w:r>
        <w:rPr>
          <w:rFonts w:ascii="Times New Roman" w:hAnsi="Times New Roman"/>
          <w:color w:val="000000"/>
          <w:sz w:val="22"/>
          <w:u w:val="single"/>
        </w:rPr>
        <w:t>plus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(vi) [reserved]; </w:t>
      </w:r>
      <w:r>
        <w:rPr>
          <w:rFonts w:ascii="Times New Roman" w:hAnsi="Times New Roman"/>
          <w:color w:val="000000"/>
          <w:sz w:val="22"/>
          <w:u w:val="single"/>
        </w:rPr>
        <w:t>minus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(vii) the aggregate amount of (A) any Investments made pursuant to </w:t>
      </w:r>
      <w:r>
        <w:rPr>
          <w:rFonts w:ascii="Times New Roman" w:hAnsi="Times New Roman"/>
          <w:color w:val="000000"/>
          <w:sz w:val="22"/>
          <w:u w:val="single"/>
        </w:rPr>
        <w:t>Section 7.02(n)</w:t>
      </w:r>
      <w:r>
        <w:rPr>
          <w:rFonts w:ascii="Times New Roman" w:hAnsi="Times New Roman"/>
          <w:color w:val="000000"/>
          <w:sz w:val="20"/>
        </w:rPr>
        <w:t xml:space="preserve"> </w:t>
      </w:r>
      <w:r>
        <w:rPr>
          <w:rFonts w:ascii="Times New Roman" w:hAnsi="Times New Roman"/>
          <w:color w:val="000000"/>
          <w:sz w:val="22"/>
        </w:rPr>
        <w:t xml:space="preserve">(net of any return of capital in respect of such Investment or deemed reduction in the amount of such Investment, including, without limitation, upon the redesignation of any Unrestricted Subsidiary as a Restricted Subsidiary or the sale, transfer, lease or other disposition of any such Investment), (B) any Restricted Payment made pursuant to </w:t>
      </w:r>
      <w:r>
        <w:rPr>
          <w:rFonts w:ascii="Times New Roman" w:hAnsi="Times New Roman"/>
          <w:color w:val="000000"/>
          <w:sz w:val="22"/>
          <w:u w:val="single"/>
        </w:rPr>
        <w:t>Section 7.06(k)</w:t>
      </w:r>
      <w:r>
        <w:rPr>
          <w:rFonts w:ascii="Times New Roman" w:hAnsi="Times New Roman"/>
          <w:color w:val="000000"/>
          <w:sz w:val="20"/>
        </w:rPr>
        <w:t xml:space="preserve"> </w:t>
      </w:r>
      <w:r>
        <w:rPr>
          <w:rFonts w:ascii="Times New Roman" w:hAnsi="Times New Roman"/>
          <w:color w:val="000000"/>
          <w:sz w:val="22"/>
        </w:rPr>
        <w:t xml:space="preserve">and (C) any payments made pursuant to </w:t>
      </w:r>
      <w:r>
        <w:rPr>
          <w:rFonts w:ascii="Times New Roman" w:hAnsi="Times New Roman"/>
          <w:color w:val="000000"/>
          <w:sz w:val="22"/>
          <w:u w:val="single"/>
        </w:rPr>
        <w:t>Section 7.08(a)(iv)</w:t>
      </w:r>
      <w:r>
        <w:rPr>
          <w:rFonts w:ascii="Times New Roman" w:hAnsi="Times New Roman"/>
          <w:color w:val="000000"/>
          <w:sz w:val="22"/>
        </w:rPr>
        <w:t xml:space="preserve">, in each case, during the period commencing on the Closing Date through and including the Available Amount Reference Time (and, for purposes of this </w:t>
      </w:r>
      <w:r>
        <w:rPr>
          <w:rFonts w:ascii="Times New Roman" w:hAnsi="Times New Roman"/>
          <w:color w:val="000000"/>
          <w:sz w:val="22"/>
          <w:u w:val="single"/>
        </w:rPr>
        <w:t>subclause (vii)</w:t>
      </w:r>
      <w:r>
        <w:rPr>
          <w:rFonts w:ascii="Times New Roman" w:hAnsi="Times New Roman"/>
          <w:color w:val="000000"/>
          <w:sz w:val="22"/>
        </w:rPr>
        <w:t>, without taking account of the intended usage of the Available Amount at such Available Amount Reference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means Title 11 of the United State Code, as amended, or any similar federal or state law for the relief of debtors.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Bankruptcy Event</w:t>
      </w:r>
      <w:r>
        <w:rPr>
          <w:rFonts w:ascii="Times New Roman" w:hAnsi="Times New Roman"/>
          <w:color w:val="000000"/>
          <w:sz w:val="20"/>
        </w:rPr>
        <w:t xml:space="preserve">” </w:t>
      </w:r>
      <w:r>
        <w:rPr>
          <w:rFonts w:ascii="Times New Roman" w:hAnsi="Times New Roman"/>
          <w:color w:val="000000"/>
          <w:sz w:val="22"/>
        </w:rPr>
        <w:t xml:space="preserve">means, with respect to any Person, such Person or its parent entity becomes (other than via an Undisclosed Administration)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Bankruptcy Event shall not result solely by virtue of any ownership interest, or the acquisition of any ownership interest, in such Person by a Governmental Authority or instrumentality thereof;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its parent entity.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 xml:space="preserve">means, for any day, the greatest of (a) the Federal Funds Rate in effect on such day plus ½%, (b) Term SOFR for a one month tenor in effect on such day, plus 1%,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this clause (b) shall not be applicable during any period in which Term SOFR is unavailable or unascertainable, and (c)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Base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Base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 xml:space="preserve">means, initially, with respect to any Term Benchmark Loan, Term SOFR;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 Benchmark Transition Event and the related Benchmark Replacement Date have occurred with respect to Term SOFR or the then-current Benchmark, then “Benchmark” means the applicable Benchmark Replacement to the extent that such Benchmark Replacement has replaced such prior benchmark rate pursuant to clause (b) of Section 3.02.</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10101"/>
          <w:sz w:val="22"/>
        </w:rPr>
        <w:t>with respect to</w:t>
      </w:r>
      <w:r>
        <w:rPr>
          <w:rFonts w:ascii="Times New Roman" w:hAnsi="Times New Roman"/>
          <w:color w:val="000000"/>
          <w:sz w:val="20"/>
        </w:rPr>
        <w:t xml:space="preserve"> </w:t>
      </w:r>
      <w:r>
        <w:rPr>
          <w:rFonts w:ascii="Times New Roman" w:hAnsi="Times New Roman"/>
          <w:color w:val="000000"/>
          <w:sz w:val="22"/>
        </w:rPr>
        <w:t xml:space="preserve">any Benchmark </w:t>
      </w:r>
      <w:r>
        <w:rPr>
          <w:rFonts w:ascii="Times New Roman" w:hAnsi="Times New Roman"/>
          <w:color w:val="010101"/>
          <w:sz w:val="22"/>
        </w:rPr>
        <w:t xml:space="preserve">Transition Event, </w:t>
      </w:r>
      <w:r>
        <w:rPr>
          <w:rFonts w:ascii="Times New Roman" w:hAnsi="Times New Roman"/>
          <w:color w:val="000000"/>
          <w:sz w:val="22"/>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If the Benchmark Replacement as determined pursuant to above would be less than the Floor, the Benchmark Replacement will be deemed to be the Floor for the purposes of this Agreement and the other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any Benchmark Replacement,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means, with respect to any Benchmark, the earliest to occur of the following events with respect to such then-current Benchmark:</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respect to all then-current Available Tenors of such Benchmark (or the published component used in the calculation thereof).</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Transition Event</w:t>
      </w:r>
      <w:r>
        <w:rPr>
          <w:rFonts w:ascii="Times New Roman" w:hAnsi="Times New Roman"/>
          <w:color w:val="000000"/>
          <w:sz w:val="20"/>
        </w:rPr>
        <w:t xml:space="preserve">” </w:t>
      </w:r>
      <w:r>
        <w:rPr>
          <w:rFonts w:ascii="Times New Roman" w:hAnsi="Times New Roman"/>
          <w:color w:val="000000"/>
          <w:sz w:val="22"/>
        </w:rPr>
        <w:t>means, with respect to any Benchmark, the occurrence of one or more of the following events with respect to such then-current Benchmark:</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 or</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 xml:space="preserve">” </w:t>
      </w:r>
      <w:r>
        <w:rPr>
          <w:rFonts w:ascii="Times New Roman" w:hAnsi="Times New Roman"/>
          <w:color w:val="000000"/>
          <w:sz w:val="22"/>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3.02 and (y) ending at the time that a Benchmark Replacement has replaced such then-current Benchmark for all purposes hereunder and under any Loan Document in accordance with Section 3.02.</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as required by the Beneficial Ownership Regulation.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Borrower</w:t>
      </w:r>
      <w:r>
        <w:rPr>
          <w:rFonts w:ascii="Times New Roman" w:hAnsi="Times New Roman"/>
          <w:color w:val="000000"/>
          <w:sz w:val="20"/>
        </w:rPr>
        <w:t xml:space="preserve">” </w:t>
      </w:r>
      <w:r>
        <w:rPr>
          <w:rFonts w:ascii="Times New Roman" w:hAnsi="Times New Roman"/>
          <w:color w:val="000000"/>
          <w:sz w:val="22"/>
        </w:rPr>
        <w:t>has the meaning specified in the introductory paragraph to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Borrower Materials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Borrowing</w:t>
      </w:r>
      <w:r>
        <w:rPr>
          <w:rFonts w:ascii="Times New Roman" w:hAnsi="Times New Roman"/>
          <w:color w:val="000000"/>
          <w:sz w:val="20"/>
        </w:rPr>
        <w:t xml:space="preserve">” </w:t>
      </w:r>
      <w:r>
        <w:rPr>
          <w:rFonts w:ascii="Times New Roman" w:hAnsi="Times New Roman"/>
          <w:color w:val="000000"/>
          <w:sz w:val="22"/>
        </w:rPr>
        <w:t>means Loans of the same Class and Type, made, converted or continued on the same date and, in the case of SOFR Loans, as to which a single Interest Period is in effect.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means any day that is not a Saturday, Sunday or other day on which commercial banks in New York City are authorized or required by law to remain closed.</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 Expenditures</w:t>
      </w:r>
      <w:r>
        <w:rPr>
          <w:rFonts w:ascii="Times New Roman" w:hAnsi="Times New Roman"/>
          <w:color w:val="000000"/>
          <w:sz w:val="20"/>
        </w:rPr>
        <w:t xml:space="preserve">” </w:t>
      </w:r>
      <w:r>
        <w:rPr>
          <w:rFonts w:ascii="Times New Roman" w:hAnsi="Times New Roman"/>
          <w:color w:val="000000"/>
          <w:sz w:val="22"/>
        </w:rPr>
        <w:t>means, for any period, the aggregate of, without duplication, (a) all expenditures (whether paid in cash or accrued as liabilities) by the Borrower and its Restricted Subsidiaries during such period that, in conformity with GAAP, are or are required to be included as additions during such period to property, plant or equipment in a consolidated statement of cash flows and reflected in the consolidated balance sheet of the Borrower and its Restricted Subsidiaries and (b) Capitalized Lease Obligations incurred by the Borrower and its Restricted Subsidiaries during such period.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Capitalized Lease Obligation</w:t>
      </w:r>
      <w:r>
        <w:rPr>
          <w:rFonts w:ascii="Times New Roman" w:hAnsi="Times New Roman"/>
          <w:color w:val="000000"/>
          <w:sz w:val="20"/>
        </w:rPr>
        <w:t xml:space="preserve">” </w:t>
      </w:r>
      <w:r>
        <w:rPr>
          <w:rFonts w:ascii="Times New Roman" w:hAnsi="Times New Roman"/>
          <w:color w:val="000000"/>
          <w:sz w:val="22"/>
        </w:rPr>
        <w:t>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Capitalized Leases</w:t>
      </w:r>
      <w:r>
        <w:rPr>
          <w:rFonts w:ascii="Times New Roman" w:hAnsi="Times New Roman"/>
          <w:color w:val="000000"/>
          <w:sz w:val="20"/>
        </w:rPr>
        <w:t xml:space="preserve">” </w:t>
      </w:r>
      <w:r>
        <w:rPr>
          <w:rFonts w:ascii="Times New Roman" w:hAnsi="Times New Roman"/>
          <w:color w:val="000000"/>
          <w:sz w:val="22"/>
        </w:rPr>
        <w:t xml:space="preserve">means all leases that are required to be, in accordance with GAAP, recorded as capitalized leases;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all purposes hereunder the amount of obligations under any Capitalized Lease shall be the amount thereof accounted for as a liability in accordance with GAAP;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all obligations of the Borrower and its Restricted Subsidiaries that are or would be characterized as an operating lease as determined in accordance with GAAP as in effect on December 15, 2018 (whether or not such operating lease was in effect on such date) shall continue to be accounted for as an operating lease (and not as a Capitalized Lease) for purposes of this Agreement regardless of any change in GAAP following December 15, 2018 that would otherwise require such obligation to be recharacterized as a Capitalized Lease.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Collateral</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2.03(f)</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2.03(f)</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Equivalents</w:t>
      </w:r>
      <w:r>
        <w:rPr>
          <w:rFonts w:ascii="Times New Roman" w:hAnsi="Times New Roman"/>
          <w:color w:val="000000"/>
          <w:sz w:val="20"/>
        </w:rPr>
        <w:t xml:space="preserve">” </w:t>
      </w:r>
      <w:r>
        <w:rPr>
          <w:rFonts w:ascii="Times New Roman" w:hAnsi="Times New Roman"/>
          <w:color w:val="000000"/>
          <w:sz w:val="22"/>
        </w:rPr>
        <w:t>means any of the following types of Investments, to the extent owned by the Borrower or any Restricted Subsidiary:</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(1) Dollars;</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(2) securities issued or directly and fully and unconditionally guaranteed or insured by the United States government or any agency or instrumentality of the foregoing the securities of which are unconditionally guaranteed as a full faith and credit obligation of such government with maturities of 24 months or less from the date of acquisition;</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(3) certificates of deposit, banker’s acceptances and time deposits with maturities of one year or less from the date of acquisition, with any domestic or foreign commercial bank having capital</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surplus of not less than $500,000,000 in the case of U.S. banks and $100,000,000 in the case of non-U.S. banks;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(4) repurchase obligations for underlying securities of the types described in </w:t>
      </w:r>
      <w:r>
        <w:rPr>
          <w:rFonts w:ascii="Times New Roman" w:hAnsi="Times New Roman"/>
          <w:color w:val="000000"/>
          <w:sz w:val="22"/>
          <w:u w:val="single"/>
        </w:rPr>
        <w:t>clauses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w:t>
      </w:r>
      <w:r>
        <w:rPr>
          <w:rFonts w:ascii="Times New Roman" w:hAnsi="Times New Roman"/>
          <w:color w:val="000000"/>
          <w:sz w:val="20"/>
        </w:rPr>
        <w:t xml:space="preserve"> </w:t>
      </w:r>
      <w:r>
        <w:rPr>
          <w:rFonts w:ascii="Times New Roman" w:hAnsi="Times New Roman"/>
          <w:color w:val="000000"/>
          <w:sz w:val="22"/>
        </w:rPr>
        <w:t xml:space="preserve">of this definition entered into with any financial institution meeting the qualifications specified in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(5) commercial paper rated at least “P-1” by Moody’s or at least “A-1” by S&amp;P, and in each case maturing within 24 months after the date of creation thereof and Indebtedness or preferred stock issued by Persons with a rating of “A” or higher from S&amp;P or “A-2” or higher from Moody’s, with maturities of 24 months or less from the date of acquisition;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(6) marketable short-term money market and similar securities having a rating of at least “P-2” or “A-2” from either Moody’s or S&amp;P, respectively (or, if at any time neither Moody’s nor S&amp;P shall be rating such obligations, an equivalent rating from another nationally recognized statistical rating agency selected by the Borrower) and in each case maturing within 24 months after the date of creation or acquisition thereof;</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(7) readily marketable direct obligations issued by any state, commonwealth or territory of the United States or any political subdivision or taxing authority thereof having an Investment Grade Rating from Moody’s or S&amp;P with maturities of 24 months or less from the date of acquisition;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(8) readily marketable direct obligations issued by any foreign government or any political subdivision or public instrumentality thereof, in each case having an Investment Grade Rating from Moody’s or S&amp;P with maturities of 24 months or less from the date of acquisition;</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(9) Investments with average maturities of 12 months or less from the date of acquisition in money market funds rated within the top three ratings category by S&amp;P or Moody’s;</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(10)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hAnsi="Times New Roman"/>
          <w:color w:val="000000"/>
          <w:sz w:val="22"/>
          <w:u w:val="single"/>
        </w:rPr>
        <w:t>Approved Foreign Bank</w:t>
      </w:r>
      <w:r>
        <w:rPr>
          <w:rFonts w:ascii="Times New Roman" w:hAnsi="Times New Roman"/>
          <w:color w:val="000000"/>
          <w:sz w:val="20"/>
        </w:rPr>
        <w:t>”</w:t>
      </w:r>
      <w:r>
        <w:rPr>
          <w:rFonts w:ascii="Times New Roman" w:hAnsi="Times New Roman"/>
          <w:color w:val="000000"/>
          <w:sz w:val="22"/>
        </w:rPr>
        <w:t>), and in each case with maturities of not more than 270 days from the date of acquisition and (iii) the equivalent of demand deposit accounts which are maintained with an Approved Foreign Bank;</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(11) Cash Equivalents of the types described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(10)</w:t>
      </w:r>
      <w:r>
        <w:rPr>
          <w:rFonts w:ascii="Times New Roman" w:hAnsi="Times New Roman"/>
          <w:color w:val="000000"/>
          <w:sz w:val="20"/>
        </w:rPr>
        <w:t xml:space="preserve"> </w:t>
      </w:r>
      <w:r>
        <w:rPr>
          <w:rFonts w:ascii="Times New Roman" w:hAnsi="Times New Roman"/>
          <w:color w:val="000000"/>
          <w:sz w:val="22"/>
        </w:rPr>
        <w:t>above currency (other than Dollars) that is a lawful currency (other than Dollars) that is readily available and freely transferable and convertible into Dollars; and</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 xml:space="preserve">(12) investment funds investing at least 90% of their assets in Cash Equivalents of the types described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(11)</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Management Bank</w:t>
      </w:r>
      <w:r>
        <w:rPr>
          <w:rFonts w:ascii="Times New Roman" w:hAnsi="Times New Roman"/>
          <w:color w:val="000000"/>
          <w:sz w:val="20"/>
        </w:rPr>
        <w:t xml:space="preserve">” </w:t>
      </w:r>
      <w:r>
        <w:rPr>
          <w:rFonts w:ascii="Times New Roman" w:hAnsi="Times New Roman"/>
          <w:color w:val="000000"/>
          <w:sz w:val="22"/>
        </w:rPr>
        <w:t>means any (i) Person that is a Lender, an Agent, the Lead Arranger or an Affiliate of the foregoing on the date of entry into the applicable agreement giving rise to the Cash</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Management Obligation, or (ii) any other financial institution that enters into an agreement with the Borrower or any of its Restricted Subsidiaries giving rise to Cash Management Obligations; </w:t>
      </w:r>
      <w:r>
        <w:rPr>
          <w:rFonts w:ascii="Times New Roman" w:hAnsi="Times New Roman"/>
          <w:color w:val="000000"/>
          <w:sz w:val="22"/>
          <w:u w:val="single"/>
        </w:rPr>
        <w:t>provided</w:t>
      </w:r>
      <w:r>
        <w:rPr>
          <w:rFonts w:ascii="Times New Roman" w:hAnsi="Times New Roman"/>
          <w:color w:val="000000"/>
          <w:sz w:val="22"/>
        </w:rPr>
        <w:t>, that no such Person (other than Wells Fargo or its Affiliates) shall constitute a Cash Management Bank with respect to Cash Management Obligations unless and until Administrative Agent receives a Cash Management/Hedge Provider Agreement from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Management/Hedge Collateralization</w:t>
      </w:r>
      <w:r>
        <w:rPr>
          <w:rFonts w:ascii="Times New Roman" w:hAnsi="Times New Roman"/>
          <w:color w:val="000000"/>
          <w:sz w:val="20"/>
        </w:rPr>
        <w:t xml:space="preserve">” </w:t>
      </w:r>
      <w:r>
        <w:rPr>
          <w:rFonts w:ascii="Times New Roman" w:hAnsi="Times New Roman"/>
          <w:color w:val="000000"/>
          <w:sz w:val="22"/>
        </w:rPr>
        <w:t>shall mean providing cash collateral (pursuant to documentation reasonably satisfactory to the Agents) to be held by the Collateral Agent for the benefit of the Cash Management Banks and/or Hedge Banks in an amount determined by the Administrative Agent as sufficient to satisfy the reasonably estimated credit exposure, operational risk or processing risk with respect to the then existing Cash Management Obligations and/or obligations under Secured Hedge Agreements.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Management/Hedge Provider Agreement</w:t>
      </w:r>
      <w:r>
        <w:rPr>
          <w:rFonts w:ascii="Times New Roman" w:hAnsi="Times New Roman"/>
          <w:color w:val="000000"/>
          <w:sz w:val="20"/>
        </w:rPr>
        <w:t xml:space="preserve">” </w:t>
      </w:r>
      <w:r>
        <w:rPr>
          <w:rFonts w:ascii="Times New Roman" w:hAnsi="Times New Roman"/>
          <w:color w:val="000000"/>
          <w:sz w:val="22"/>
        </w:rPr>
        <w:t xml:space="preserve">means an agreement in substantially the form attached hereto as </w:t>
      </w:r>
      <w:r>
        <w:rPr>
          <w:rFonts w:ascii="Times New Roman" w:hAnsi="Times New Roman"/>
          <w:color w:val="000000"/>
          <w:sz w:val="22"/>
          <w:u w:val="single"/>
        </w:rPr>
        <w:t>Exhibit N</w:t>
      </w:r>
      <w:r>
        <w:rPr>
          <w:rFonts w:ascii="Times New Roman" w:hAnsi="Times New Roman"/>
          <w:color w:val="000000"/>
          <w:sz w:val="20"/>
        </w:rPr>
        <w:t xml:space="preserve"> </w:t>
      </w:r>
      <w:r>
        <w:rPr>
          <w:rFonts w:ascii="Times New Roman" w:hAnsi="Times New Roman"/>
          <w:color w:val="000000"/>
          <w:sz w:val="22"/>
        </w:rPr>
        <w:t>to this Agreement or in such other form as satisfactory to Administrative Agent, duly executed by the applicable Cash Management Bank or Hedge Bank, the applicable Loan Parties, and Administrative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Cash Management Obligations</w:t>
      </w:r>
      <w:r>
        <w:rPr>
          <w:rFonts w:ascii="Times New Roman" w:hAnsi="Times New Roman"/>
          <w:color w:val="000000"/>
          <w:sz w:val="20"/>
        </w:rPr>
        <w:t xml:space="preserve">” </w:t>
      </w:r>
      <w:r>
        <w:rPr>
          <w:rFonts w:ascii="Times New Roman" w:hAnsi="Times New Roman"/>
          <w:color w:val="000000"/>
          <w:sz w:val="22"/>
        </w:rPr>
        <w:t>means obligations owed by the Borrower or any Restricted Subsidiary to any Cash Management Bank in respect of any overdraft or other liabilities arising from treasury, depository, credit or debit cards, merchant store value cards, commercial cards (including so-called “purchase cards”, “procurement cards” or “p-cards”), payment card processing services, stored value cards, controlled disbursement services, e-payables services, electronic funds transfer services, interstate depository network services, any automated clearing house transfers of funds or other cash management services.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Casualty Event</w:t>
      </w:r>
      <w:r>
        <w:rPr>
          <w:rFonts w:ascii="Times New Roman" w:hAnsi="Times New Roman"/>
          <w:color w:val="000000"/>
          <w:sz w:val="20"/>
        </w:rPr>
        <w:t xml:space="preserve">” </w:t>
      </w:r>
      <w:r>
        <w:rPr>
          <w:rFonts w:ascii="Times New Roman" w:hAnsi="Times New Roman"/>
          <w:color w:val="000000"/>
          <w:sz w:val="22"/>
        </w:rPr>
        <w:t>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CFC</w:t>
      </w:r>
      <w:r>
        <w:rPr>
          <w:rFonts w:ascii="Times New Roman" w:hAnsi="Times New Roman"/>
          <w:color w:val="000000"/>
          <w:sz w:val="20"/>
        </w:rPr>
        <w:t xml:space="preserve">” </w:t>
      </w:r>
      <w:r>
        <w:rPr>
          <w:rFonts w:ascii="Times New Roman" w:hAnsi="Times New Roman"/>
          <w:color w:val="000000"/>
          <w:sz w:val="22"/>
        </w:rPr>
        <w:t>means a “controlled foreign corporation” within the meaning of Section 957 of the Code any shares of which are treated as owned directly or indirectly by a United States Shareholder (within the meaning of Section 951(b) of the Code), as measured for purposes of Section 958(a) of the Code.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Change of Control</w:t>
      </w:r>
      <w:r>
        <w:rPr>
          <w:rFonts w:ascii="Times New Roman" w:hAnsi="Times New Roman"/>
          <w:color w:val="000000"/>
          <w:sz w:val="20"/>
        </w:rPr>
        <w:t xml:space="preserve">” </w:t>
      </w:r>
      <w:r>
        <w:rPr>
          <w:rFonts w:ascii="Times New Roman" w:hAnsi="Times New Roman"/>
          <w:color w:val="000000"/>
          <w:sz w:val="22"/>
        </w:rPr>
        <w:t xml:space="preserve">means the earlier to occur of the Permitted Holders ceasing to have the power, directly or indirectly, to vote or direct the voting of securities having a majority of the ordinary voting power for the election of directors, managers or other governing body of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occurrence of the foregoing event shall not be deemed a Change of Control if:</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(a) any time prior to the consummation of a Qualifying IPO, and for any reason whatsoever, the Permitted Holders otherwise have the right, directly or indirectly, to designate (and do so designate) a majority of the board of directors, managers or other governing body of the Borrower at such time; or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(b) at any time upon or after the consummation of a Qualifying IPO, and for any reason whatsoever, no “person” or “group” (as such terms are used in Sections 13(d) and 14(d) of the Exchange Act), excluding the Permitted Holders, shall become the “beneficial owner” (as defined in Rules 13(d)-3 and 13(d)-5 under such Act), directly or indirectly, of more than the greater of (x) thirty-five percent (35%) of the then outstanding voting stock of the Borrower, and (y) the percentage of the then outstanding voting stock of the Borrower at such time owned, directly or indirectly, beneficially by the Permitted Holders.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City Code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1.09(a)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 xml:space="preserve">” </w:t>
      </w:r>
      <w:r>
        <w:rPr>
          <w:rFonts w:ascii="Times New Roman" w:hAnsi="Times New Roman"/>
          <w:color w:val="000000"/>
          <w:sz w:val="22"/>
        </w:rPr>
        <w:t>(a) when used with respect to Lenders, refers to whether such Lenders are Revolving Credit Lenders or Term Lenders, (b) when used with respect to Commitments, refers to whether such Commitments are Revolving Credit Commitments, Term Commitments, Extended Revolving Credit Commitments, Incremental Revolving Commitments, Refinancing Revolving Commitments, Commitments in respect of any Incremental Term Loans or Commitments in respect of any Extended Term Loans and (c) when used with respect to Loans or a Borrowing, refers to whether such Loans, or the Loans comprising such Borrowing, are Revolving Credit Loans, Term Loans, Extended Term Loans or Incremental Term Loans. Incremental Term Loans and Extended Term Loans that have different terms and conditions (together with the Commitments in respect thereof) shall be construed to be in different Classes.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 xml:space="preserve">means the date all the conditions precedent in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are satisfied or waived in accordance with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Closing Date Fee Letter</w:t>
      </w:r>
      <w:r>
        <w:rPr>
          <w:rFonts w:ascii="Times New Roman" w:hAnsi="Times New Roman"/>
          <w:color w:val="000000"/>
          <w:sz w:val="20"/>
        </w:rPr>
        <w:t xml:space="preserve">” </w:t>
      </w:r>
      <w:r>
        <w:rPr>
          <w:rFonts w:ascii="Times New Roman" w:hAnsi="Times New Roman"/>
          <w:color w:val="000000"/>
          <w:sz w:val="22"/>
        </w:rPr>
        <w:t>means the Fee Letter dated as of the Closing Date, by and among the Borrower and the Administrative Agent, as amended, restated, amended and restated, supplemented or otherwise modified from time to time.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CME 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as administrator of the forward-looking term Secured Overnight Financing Rate (SOFR) (or a successor administrator).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means all the “Collateral” (or equivalent term) as defined in the Collateral Documents and all other property of whatever kind and nature pledged or charged as collateral under any Collateral Document, and shall include the Mortgaged Properties.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Collateral Agent</w:t>
      </w:r>
      <w:r>
        <w:rPr>
          <w:rFonts w:ascii="Times New Roman" w:hAnsi="Times New Roman"/>
          <w:color w:val="000000"/>
          <w:sz w:val="20"/>
        </w:rPr>
        <w:t xml:space="preserve">” </w:t>
      </w:r>
      <w:r>
        <w:rPr>
          <w:rFonts w:ascii="Times New Roman" w:hAnsi="Times New Roman"/>
          <w:color w:val="000000"/>
          <w:sz w:val="22"/>
        </w:rPr>
        <w:t xml:space="preserve">means Wells Fargo, in its capacity as collateral agent under any of the Loan Documents, or any successor collateral agent appointed in accordance with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Collateral and Guarantee Requirement</w:t>
      </w:r>
      <w:r>
        <w:rPr>
          <w:rFonts w:ascii="Times New Roman" w:hAnsi="Times New Roman"/>
          <w:color w:val="000000"/>
          <w:sz w:val="20"/>
        </w:rPr>
        <w:t xml:space="preserve">” </w:t>
      </w:r>
      <w:r>
        <w:rPr>
          <w:rFonts w:ascii="Times New Roman" w:hAnsi="Times New Roman"/>
          <w:color w:val="000000"/>
          <w:sz w:val="22"/>
        </w:rPr>
        <w:t>means, at any time, the requirement that: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the Collateral Agent shall have received each Collateral Document required to be delivered on the Closing Date pursuant to </w:t>
      </w:r>
      <w:r>
        <w:rPr>
          <w:rFonts w:ascii="Times New Roman" w:hAnsi="Times New Roman"/>
          <w:color w:val="000000"/>
          <w:sz w:val="22"/>
          <w:u w:val="single"/>
        </w:rPr>
        <w:t>Section 4.01(a)(iii)</w:t>
      </w:r>
      <w:r>
        <w:rPr>
          <w:rFonts w:ascii="Times New Roman" w:hAnsi="Times New Roman"/>
          <w:color w:val="000000"/>
          <w:sz w:val="22"/>
        </w:rPr>
        <w:t xml:space="preserve">, or thereafter pursuant to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6.13</w:t>
      </w:r>
      <w:r>
        <w:rPr>
          <w:rFonts w:ascii="Times New Roman" w:hAnsi="Times New Roman"/>
          <w:color w:val="000000"/>
          <w:sz w:val="22"/>
        </w:rPr>
        <w:t>, duly executed by each Loan Party that is a party thereto;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all Obligations shall have been unconditionally guaranteed (the “</w:t>
      </w:r>
      <w:r>
        <w:rPr>
          <w:rFonts w:ascii="Times New Roman" w:hAnsi="Times New Roman"/>
          <w:color w:val="000000"/>
          <w:sz w:val="22"/>
          <w:u w:val="single"/>
        </w:rPr>
        <w:t>Guarantees</w:t>
      </w:r>
      <w:r>
        <w:rPr>
          <w:rFonts w:ascii="Times New Roman" w:hAnsi="Times New Roman"/>
          <w:color w:val="000000"/>
          <w:sz w:val="20"/>
        </w:rPr>
        <w:t>”</w:t>
      </w:r>
      <w:r>
        <w:rPr>
          <w:rFonts w:ascii="Times New Roman" w:hAnsi="Times New Roman"/>
          <w:color w:val="000000"/>
          <w:sz w:val="22"/>
        </w:rPr>
        <w:t>), jointly and severally, by (i) each Restricted Subsidiary that is a Material Subsidiary (other than any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Excluded Subsidiary) including as of the Closing Date those that are listed on </w:t>
      </w:r>
      <w:r>
        <w:rPr>
          <w:rFonts w:ascii="Times New Roman" w:hAnsi="Times New Roman"/>
          <w:color w:val="000000"/>
          <w:sz w:val="22"/>
          <w:u w:val="single"/>
        </w:rPr>
        <w:t>Schedule 1.01D</w:t>
      </w:r>
      <w:r>
        <w:rPr>
          <w:rFonts w:ascii="Times New Roman" w:hAnsi="Times New Roman"/>
          <w:color w:val="000000"/>
          <w:sz w:val="20"/>
        </w:rPr>
        <w:t xml:space="preserve"> </w:t>
      </w:r>
      <w:r>
        <w:rPr>
          <w:rFonts w:ascii="Times New Roman" w:hAnsi="Times New Roman"/>
          <w:color w:val="000000"/>
          <w:sz w:val="22"/>
        </w:rPr>
        <w:t>hereto and (ii) with respect to (x) Obligations owing by any Loan Party or any Subsidiary of a Loan Party (other than the Borrower) under any Secured Hedge Agreement or any Cash Management Obligation and (y) the payment and performance by each Specified Loan Party of its obligations under its Guaranty with respect to all Swap Obligations, the Borrower (each, a “</w:t>
      </w:r>
      <w:r>
        <w:rPr>
          <w:rFonts w:ascii="Times New Roman" w:hAnsi="Times New Roman"/>
          <w:color w:val="000000"/>
          <w:sz w:val="22"/>
          <w:u w:val="single"/>
        </w:rPr>
        <w:t>Guarantor</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the Obligations and the Guarantees shall have been secured pursuant to the Security Agreement or other applicable Collateral Documents by a first-priority security interest in all Equity Interests (other than Excluded Equity) held directly by the Borrower or any Guarantor in any Wholly-Owned Material Subsidiary, in each case subject to (x) those Liens permitted under </w:t>
      </w:r>
      <w:r>
        <w:rPr>
          <w:rFonts w:ascii="Times New Roman" w:hAnsi="Times New Roman"/>
          <w:color w:val="000000"/>
          <w:sz w:val="22"/>
          <w:u w:val="single"/>
        </w:rPr>
        <w:t>Sections 7.01(b)</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2"/>
        </w:rPr>
        <w:t xml:space="preserve">, </w:t>
      </w:r>
      <w:r>
        <w:rPr>
          <w:rFonts w:ascii="Times New Roman" w:hAnsi="Times New Roman"/>
          <w:color w:val="000000"/>
          <w:sz w:val="22"/>
          <w:u w:val="single"/>
        </w:rPr>
        <w:t>(o)</w:t>
      </w:r>
      <w:r>
        <w:rPr>
          <w:rFonts w:ascii="Times New Roman" w:hAnsi="Times New Roman"/>
          <w:color w:val="000000"/>
          <w:sz w:val="22"/>
        </w:rPr>
        <w:t xml:space="preserve">, </w:t>
      </w:r>
      <w:r>
        <w:rPr>
          <w:rFonts w:ascii="Times New Roman" w:hAnsi="Times New Roman"/>
          <w:color w:val="000000"/>
          <w:sz w:val="22"/>
          <w:u w:val="single"/>
        </w:rPr>
        <w:t>(w)</w:t>
      </w:r>
      <w:r>
        <w:rPr>
          <w:rFonts w:ascii="Times New Roman" w:hAnsi="Times New Roman"/>
          <w:color w:val="000000"/>
          <w:sz w:val="20"/>
        </w:rPr>
        <w:t xml:space="preserve"> </w:t>
      </w:r>
      <w:r>
        <w:rPr>
          <w:rFonts w:ascii="Times New Roman" w:hAnsi="Times New Roman"/>
          <w:color w:val="000000"/>
          <w:sz w:val="22"/>
        </w:rPr>
        <w:t xml:space="preserve">(solely with respect to modifications, replacements, renewals or extensions of Liens permitted by </w:t>
      </w:r>
      <w:r>
        <w:rPr>
          <w:rFonts w:ascii="Times New Roman" w:hAnsi="Times New Roman"/>
          <w:color w:val="000000"/>
          <w:sz w:val="22"/>
          <w:u w:val="single"/>
        </w:rPr>
        <w:t>Sections 7.01(b)</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(o)</w:t>
      </w:r>
      <w:r>
        <w:rPr>
          <w:rFonts w:ascii="Times New Roman" w:hAnsi="Times New Roman"/>
          <w:color w:val="000000"/>
          <w:sz w:val="22"/>
        </w:rPr>
        <w:t xml:space="preserve">) and (y) any nonconsensual Lien that is permitted under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and the Administrative Agent shall have received certificates or other instruments representing all such Equity Interests (if any), together with undated stock powers or other instruments of transfer with respect thereto endorsed in blank, in each case, required to be delivered under the Collateral Documents;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except to the extent otherwise provided hereunder or under any Collateral Document, the Obligations and the Guarantees shall have been secured by a perfected security interest (other than in the case of mortgages, to the extent such security interest may be perfected by delivering certificated securities and instruments, filing personal property financing statements under the Uniform Commercial Code, or making any necessary filings with the United States Patent and Trademark Office or United States Copyright Office) in, and mortgaged on, substantially all tangible and intangible assets of the Borrower and each other Guarantor (including, without limitation, accounts receivable, inventory, equipment, investment property, United States Intellectual Property, intercompany receivables, other general intangibles (including contract rights), fee owned (but not leased) real property and proceeds of the foregoing), in each case, with the priority required by the Collateral Documents and all certificates, agreements, documents and instruments required by the Collateral Documents, requirements of Law and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security interests in real property shall be limited to the Mortgaged Properties;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none of the Collateral shall be subject to any Liens other than Permitted Liens;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the Collateral Agent shall have received (i) counterparts of a Mortgage with respect to each Material Real Property required to be delivered pursuant to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6.13</w:t>
      </w:r>
      <w:r>
        <w:rPr>
          <w:rFonts w:ascii="Times New Roman" w:hAnsi="Times New Roman"/>
          <w:color w:val="000000"/>
          <w:sz w:val="22"/>
        </w:rPr>
        <w:t>, as applicable, duly executed and delivered by the record owner of such property, (ii) a title insurance policy for such Mortgaged Property (or a marked-up title insurance commitment having the effect of a title insurance policy) (the “</w:t>
      </w:r>
      <w:r>
        <w:rPr>
          <w:rFonts w:ascii="Times New Roman" w:hAnsi="Times New Roman"/>
          <w:color w:val="000000"/>
          <w:sz w:val="22"/>
          <w:u w:val="single"/>
        </w:rPr>
        <w:t>Mortgage Policies</w:t>
      </w:r>
      <w:r>
        <w:rPr>
          <w:rFonts w:ascii="Times New Roman" w:hAnsi="Times New Roman"/>
          <w:color w:val="000000"/>
          <w:sz w:val="20"/>
        </w:rPr>
        <w:t>”</w:t>
      </w:r>
      <w:r>
        <w:rPr>
          <w:rFonts w:ascii="Times New Roman" w:hAnsi="Times New Roman"/>
          <w:color w:val="000000"/>
          <w:sz w:val="22"/>
        </w:rPr>
        <w:t xml:space="preserve">) insuring the Lien of each such Mortgage as a valid first priority Lien on the property described therein, free of any other Liens except Permitted Liens, together with such endorsements, coinsurance and reinsurance as the Collateral Agent may reasonably request, a completed “Life-of-Loan” Federal Emergency Management Agency standard flood hazard determination with respect to each Mortgaged Property (together with a notice about special flood hazard area status and flood disaster assistance duly executed by the applicable Loan Party relating thereto), (iii) if applicable, a copy of, or a certificate as to coverage under, and a declaration page relating to, the flood insurance policies required by </w:t>
      </w:r>
      <w:r>
        <w:rPr>
          <w:rFonts w:ascii="Times New Roman" w:hAnsi="Times New Roman"/>
          <w:color w:val="000000"/>
          <w:sz w:val="22"/>
          <w:u w:val="single"/>
        </w:rPr>
        <w:t>Section 6.06</w:t>
      </w:r>
      <w:r>
        <w:rPr>
          <w:rFonts w:ascii="Times New Roman" w:hAnsi="Times New Roman"/>
          <w:color w:val="000000"/>
          <w:sz w:val="20"/>
        </w:rPr>
        <w:t xml:space="preserve"> </w:t>
      </w:r>
      <w:r>
        <w:rPr>
          <w:rFonts w:ascii="Times New Roman" w:hAnsi="Times New Roman"/>
          <w:color w:val="000000"/>
          <w:sz w:val="22"/>
        </w:rPr>
        <w:t>hereof, each of which (A) shall be endorsed or otherwise amended to name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Collateral Agent as mortgagee and loss payee, (B) shall (1) identify the addresses of each property located in a special flood hazard area, (2) indicate the applicable flood zone designation, the flood insurance coverage and the deductible relating thereto and (3) be otherwise in form and substance reasonably satisfactory to the Collateral Agent, and (iv) such existing abstracts, existing appraisals, legal opinions and other documents as the Collateral Agent may reasonably request with respect to any such Mortgaged Property, which shall be in form and substance reasonably satisfactory to the Collateral Agent;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in the event any Guarantor is added that is organized in a jurisdiction other than the U.S., such Loan Party shall grant a perfected lien on substantially all of its assets (other than Excluded Property) pursuant to arrangements reasonably agreed between the Administrative Agent and the Borrower subject to customary limitations in such jurisdiction to be reasonably agreed to between the Administrative Agent and the Borrower.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foregoing definition shall not require the creation or perfection of pledges of or security interests in, or the obtaining of the Mortgage Policies or surveys with respect to, particular assets if and for so long as the Administrative Agent and the Borrower agree in writing that the cost of creating or perfecting such pledges or security interests in such assets or obtaining title insurance or surveys in respect of such assets shall be excessive in view of the benefits to be obtained by the Lenders therefrom.</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Administrative Agent may grant extensions of time for the perfection of security interests in or the obtaining of title insurance and surveys with respect to particular assets (including extensions beyond the Closing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Collateral Documents.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Notwithstanding the foregoing provisions of this definition or anything in this Agreement or any other Loan Document to the contrary: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Liens required to be granted from time to time pursuant to the Collateral and Guarantee Requirement shall be subject to exceptions and limitations set forth in the Collateral Documents and, to the extent appropriate in the applicable jurisdiction, as agreed between the Administrative Agent and the Borrower;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the Collateral and Guarantee Requirement shall not apply to any Excluded Property;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no deposit account control agreement, securities account control agreement or other control agreements or control arrangements shall be required (x) prior to the Second Amendment Effective Date, with respect to any Excluded Accounts and (y) from and after the Second Amendment Effective Date for any deposit accounts or securities account not subject to a control agreement as of the Second Amendment Effective Date;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other than as provided in </w:t>
      </w:r>
      <w:r>
        <w:rPr>
          <w:rFonts w:ascii="Times New Roman" w:hAnsi="Times New Roman"/>
          <w:color w:val="000000"/>
          <w:sz w:val="22"/>
          <w:u w:val="single"/>
        </w:rPr>
        <w:t>clause (g)</w:t>
      </w:r>
      <w:r>
        <w:rPr>
          <w:rFonts w:ascii="Times New Roman" w:hAnsi="Times New Roman"/>
          <w:color w:val="000000"/>
          <w:sz w:val="20"/>
        </w:rPr>
        <w:t xml:space="preserve"> </w:t>
      </w:r>
      <w:r>
        <w:rPr>
          <w:rFonts w:ascii="Times New Roman" w:hAnsi="Times New Roman"/>
          <w:color w:val="000000"/>
          <w:sz w:val="22"/>
        </w:rPr>
        <w:t>above, no actions in any jurisdiction other than the United States or that are necessary to comply with the Laws of any jurisdiction other than the United States shall be required in order to create any security interests in assets located, titled, registered or filed outside of the United States or to perfect such security interests (it being understood that, other than (1) as may be agreed in writing between the Borrower and the Administrative Agent and (2) the jurisdiction of organization of any Restricted Subsidiary that becomes a Guarantor pursuant to the last sentence of the definition of “Guarantor”, there shall be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no security agreements, pledge agreements, or share charge (or mortgage) agreements governed under the Laws of any jurisdiction other than the United States);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general statutory limitations, financial assistance, corporate benefit, capital maintenance rules, fraudulent preference, “thin capitalization” rules, retention of title claims and similar principle may limit the ability of a Foreign Subsidiary to provide a Guarantee or Collateral or may require that the Guarantee or Collateral be limited by an amount or otherwise, in each case as reasonably determined by the Borrower in consultation with the Administrative Agent;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no stock certificates of Immaterial Subsidiaries shall be required to be delivered to the Collateral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Collateral Documents</w:t>
      </w:r>
      <w:r>
        <w:rPr>
          <w:rFonts w:ascii="Times New Roman" w:hAnsi="Times New Roman"/>
          <w:color w:val="000000"/>
          <w:sz w:val="20"/>
        </w:rPr>
        <w:t xml:space="preserve">” </w:t>
      </w:r>
      <w:r>
        <w:rPr>
          <w:rFonts w:ascii="Times New Roman" w:hAnsi="Times New Roman"/>
          <w:color w:val="000000"/>
          <w:sz w:val="22"/>
        </w:rPr>
        <w:t xml:space="preserve">means, collectively, the Security Agreement, the Mortgages, each of the mortgages, collateral assignments, Security Agreement Supplements, security agreements, intellectual property security agreements, pledge agreements or other similar agreements delivered to the Collateral Agent and the Lenders pursuant to the Collateral and Guarantee Requirement, </w:t>
      </w:r>
      <w:r>
        <w:rPr>
          <w:rFonts w:ascii="Times New Roman" w:hAnsi="Times New Roman"/>
          <w:color w:val="000000"/>
          <w:sz w:val="22"/>
          <w:u w:val="single"/>
        </w:rPr>
        <w:t>Section 4.01(a)(iii)</w:t>
      </w:r>
      <w:r>
        <w:rPr>
          <w:rFonts w:ascii="Times New Roman" w:hAnsi="Times New Roman"/>
          <w:color w:val="000000"/>
          <w:sz w:val="22"/>
        </w:rPr>
        <w:t xml:space="preserve">,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6.13</w:t>
      </w:r>
      <w:r>
        <w:rPr>
          <w:rFonts w:ascii="Times New Roman" w:hAnsi="Times New Roman"/>
          <w:color w:val="000000"/>
          <w:sz w:val="22"/>
        </w:rPr>
        <w:t>, the Guaranty and each of the other agreements, instruments or documents that creates or purports to create a Lien or Guarantee in favor of the Collateral Agent for the benefit of the Secured Parties.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means a Term Commitment, a Revolving Credit Commitment, an Extended Revolving Credit Commitment, a Refinancing Revolving Commitment, a commitment in respect of any Incremental Term Loans, or a commitment in respect of any Extended Term Loans or any combination thereof, as the context may require.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Commitment Fee</w:t>
      </w:r>
      <w:r>
        <w:rPr>
          <w:rFonts w:ascii="Times New Roman" w:hAnsi="Times New Roman"/>
          <w:color w:val="000000"/>
          <w:sz w:val="20"/>
        </w:rPr>
        <w:t xml:space="preserve">” </w:t>
      </w:r>
      <w:r>
        <w:rPr>
          <w:rFonts w:ascii="Times New Roman" w:hAnsi="Times New Roman"/>
          <w:color w:val="000000"/>
          <w:sz w:val="22"/>
        </w:rPr>
        <w:t xml:space="preserve">has the meaning provided in </w:t>
      </w:r>
      <w:r>
        <w:rPr>
          <w:rFonts w:ascii="Times New Roman" w:hAnsi="Times New Roman"/>
          <w:color w:val="000000"/>
          <w:sz w:val="22"/>
          <w:u w:val="single"/>
        </w:rPr>
        <w:t>Section 2.09(a)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Committed Loan Notice</w:t>
      </w:r>
      <w:r>
        <w:rPr>
          <w:rFonts w:ascii="Times New Roman" w:hAnsi="Times New Roman"/>
          <w:color w:val="000000"/>
          <w:sz w:val="20"/>
        </w:rPr>
        <w:t xml:space="preserve">” </w:t>
      </w:r>
      <w:r>
        <w:rPr>
          <w:rFonts w:ascii="Times New Roman" w:hAnsi="Times New Roman"/>
          <w:color w:val="000000"/>
          <w:sz w:val="22"/>
        </w:rPr>
        <w:t xml:space="preserve">means a notice of (a) a Term Borrowing, (b) a Revolving Credit Borrowing, (c) a conversion of Loans from one Type to the other or (d) a continuation of SOFR Loans pursuant to </w:t>
      </w:r>
      <w:r>
        <w:rPr>
          <w:rFonts w:ascii="Times New Roman" w:hAnsi="Times New Roman"/>
          <w:color w:val="000000"/>
          <w:sz w:val="22"/>
          <w:u w:val="single"/>
        </w:rPr>
        <w:t>Section 2.02(a)</w:t>
      </w:r>
      <w:r>
        <w:rPr>
          <w:rFonts w:ascii="Times New Roman" w:hAnsi="Times New Roman"/>
          <w:color w:val="000000"/>
          <w:sz w:val="22"/>
        </w:rPr>
        <w:t xml:space="preserve">, which shall be substantially in the form of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(including any form on an electronic platform or electronic transmission system as shall be approved by the Administrative Agent), appropriately completed and signed by a Responsible Officer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 xml:space="preserve">means the Commodity Exchange Act (7 U.S.C. § 1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10.02(g)</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Compensation Period</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2.12(c)(ii)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substantially in the form of </w:t>
      </w:r>
      <w:r>
        <w:rPr>
          <w:rFonts w:ascii="Times New Roman" w:hAnsi="Times New Roman"/>
          <w:color w:val="000000"/>
          <w:sz w:val="22"/>
          <w:u w:val="single"/>
        </w:rPr>
        <w:t>Exhibit 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Depreciation and Amortization Expense</w:t>
      </w:r>
      <w:r>
        <w:rPr>
          <w:rFonts w:ascii="Times New Roman" w:hAnsi="Times New Roman"/>
          <w:color w:val="000000"/>
          <w:sz w:val="20"/>
        </w:rPr>
        <w:t xml:space="preserve">” </w:t>
      </w:r>
      <w:r>
        <w:rPr>
          <w:rFonts w:ascii="Times New Roman" w:hAnsi="Times New Roman"/>
          <w:color w:val="000000"/>
          <w:sz w:val="22"/>
        </w:rPr>
        <w:t>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EBITDA</w:t>
      </w:r>
      <w:r>
        <w:rPr>
          <w:rFonts w:ascii="Times New Roman" w:hAnsi="Times New Roman"/>
          <w:color w:val="000000"/>
          <w:sz w:val="20"/>
        </w:rPr>
        <w:t xml:space="preserve">” </w:t>
      </w:r>
      <w:r>
        <w:rPr>
          <w:rFonts w:ascii="Times New Roman" w:hAnsi="Times New Roman"/>
          <w:color w:val="000000"/>
          <w:sz w:val="22"/>
        </w:rPr>
        <w:t>means, with respect to any Person for any period, the Consolidated Net Income of such Person for such period: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increased (without duplication) by the following:</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provision for Taxes based on income or profits or capital, including, without limitation, state, franchise, excise and similar taxes and foreign withholding taxes of such Person paid or accrued during such period, including any penalties and interest relating to any tax examinations, deducted (and not added back) in computing Consolidated Net Income;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Interest Charges of such Person for such period (including (x) net losses or any obligations under any Swap Contracts or other derivative instruments entered into for the purpose of hedging interest rate, currency or commodities risk, (y) bank fees and (z) costs of surety bonds in connection with financing activities, to the extent the same were deducted (and not added back) in calculating such Consolidated Net Income);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Consolidated Depreciation and Amortization Expense of such Person for such period to the extent the same were deducted (and not added back) in computing Consolidated Net Income;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any fees, expenses or charges (other than depreciation or amortization expense) related to any equity offering, Investment, acquisition, disposition or recapitalization permitted hereunder or the incurrence of Indebtedness permitted to be incurred hereunder (including a refinancing thereof) (whether or not successful), including (A) such fees, expenses or charges related to this Agreement and any other credit facilities or debt securities (including fees, expenses or charges of any consultants and advisors incurred in connection with the Transactions) and (B) any amendment or other modification of this Agreement and any other credit facilities or debt securities, in each case, deducted (and not added back) in computing Consolidated Net Income;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 the amount of any restructuring charge, cost, expense or reserve, relocation, redundancy or severance expense, new product introductions or one-time compensation charges, integration cost or other business optimization expense or cost, including in connection with establishing new facilities, that is deducted (and not added back) in such period in computing Consolidated Net Income, including any one-time costs incurred in connection with acquisitions or divestitures after the Closing Date, and costs related to the closure and/or consolidation of facilities and to exiting lines of business;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made pursuant to this </w:t>
      </w:r>
      <w:r>
        <w:rPr>
          <w:rFonts w:ascii="Times New Roman" w:hAnsi="Times New Roman"/>
          <w:color w:val="000000"/>
          <w:sz w:val="22"/>
          <w:u w:val="single"/>
        </w:rPr>
        <w:t>clause (a)(v)</w:t>
      </w:r>
      <w:r>
        <w:rPr>
          <w:rFonts w:ascii="Times New Roman" w:hAnsi="Times New Roman"/>
          <w:color w:val="000000"/>
          <w:sz w:val="20"/>
        </w:rPr>
        <w:t xml:space="preserve"> </w:t>
      </w:r>
      <w:r>
        <w:rPr>
          <w:rFonts w:ascii="Times New Roman" w:hAnsi="Times New Roman"/>
          <w:color w:val="000000"/>
          <w:sz w:val="22"/>
        </w:rPr>
        <w:t xml:space="preserve">for an applicable measurement period, combined with the aggregate amount of adjustments for such measurement period pursuant to </w:t>
      </w:r>
      <w:r>
        <w:rPr>
          <w:rFonts w:ascii="Times New Roman" w:hAnsi="Times New Roman"/>
          <w:color w:val="000000"/>
          <w:sz w:val="22"/>
          <w:u w:val="single"/>
        </w:rPr>
        <w:t>clauses (a)(viii)</w:t>
      </w:r>
      <w:r>
        <w:rPr>
          <w:rFonts w:ascii="Times New Roman" w:hAnsi="Times New Roman"/>
          <w:color w:val="000000"/>
          <w:sz w:val="22"/>
        </w:rPr>
        <w:t xml:space="preserve">, </w:t>
      </w:r>
      <w:r>
        <w:rPr>
          <w:rFonts w:ascii="Times New Roman" w:hAnsi="Times New Roman"/>
          <w:color w:val="000000"/>
          <w:sz w:val="22"/>
          <w:u w:val="single"/>
        </w:rPr>
        <w:t>(a)(xvi)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(a)(xviii)</w:t>
      </w:r>
      <w:r>
        <w:rPr>
          <w:rFonts w:ascii="Times New Roman" w:hAnsi="Times New Roman"/>
          <w:color w:val="000000"/>
          <w:sz w:val="20"/>
        </w:rPr>
        <w:t xml:space="preserve"> </w:t>
      </w:r>
      <w:r>
        <w:rPr>
          <w:rFonts w:ascii="Times New Roman" w:hAnsi="Times New Roman"/>
          <w:color w:val="000000"/>
          <w:sz w:val="22"/>
        </w:rPr>
        <w:t xml:space="preserve">(with respect to cash items) of this definition and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 xml:space="preserve">of the definition of “Pro Forma Adjustment”, shall not exceed 30% of Consolidated EBITDA for such measurement period (calculated before giving effect to such adjustments);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bookmarkStart w:id="46" w:name="docxtextref101"/>
      <w:bookmarkEnd w:id="46"/>
      <w:r>
        <w:rPr>
          <w:rFonts w:ascii="Times New Roman" w:hAnsi="Times New Roman"/>
          <w:color w:val="000000"/>
          <w:sz w:val="22"/>
        </w:rPr>
        <w:t>(vi) any other non-cash charges, write-downs, expenses, losses or items reducing Consolidated Net Income for such period including any impairment charges or the impact of purchase accounting,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such non-cash charges represent an accrual or reserve for potential cash items in any future period, (A) the Borrower may elect not to add back such non-cash charge in the current period and (B)</w:t>
      </w:r>
      <w:r>
        <w:rPr>
          <w:rFonts w:ascii="Times New Roman" w:hAnsi="Times New Roman"/>
          <w:color w:val="000000"/>
          <w:sz w:val="20"/>
        </w:rPr>
        <w:t xml:space="preserve"> </w:t>
      </w:r>
      <w:r>
        <w:rPr>
          <w:rFonts w:ascii="Times New Roman" w:hAnsi="Times New Roman"/>
          <w:color w:val="000000"/>
          <w:sz w:val="22"/>
        </w:rPr>
        <w:t>to the extent the Borrower elects to add back such non-cash charge, the cash payment in respect thereof in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such future period shall be subtracted from Consolidated EBITDA to such extent) or other items classified by the Borrower as special items less other non-cash items of income increasing Consolidated Net Income (excluding any such non-cash item of income to the extent it represents a receipt of cash in any future period);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 Transaction Expenses;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(viii) the amount of “run-rate” cost savings, operating expense reductions and synergies projected by the Borrower in good faith to result from actions taken prior to or during, or expected to be taken following such period (which cost savings or synergies shall be subject only to certification by a Responsible Officer of the Borrower and shall be calculated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basis as though such cost savings or cost synergies had been realized on the first day of such period), net of the amount of actual benefits realized prior to or during such period from such actions;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Responsible Officer of the Borrower shall have certified to the Administrative Agent that (x) such cost savings or cost synergies are reasonably identifiable, reasonably attributable to the actions specified and reasonably anticipated to result from such actions, (y) such actions have been taken or are to be taken within eighteen (18) months of the event giving rise thereto;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made pursuant to this </w:t>
      </w:r>
      <w:r>
        <w:rPr>
          <w:rFonts w:ascii="Times New Roman" w:hAnsi="Times New Roman"/>
          <w:color w:val="000000"/>
          <w:sz w:val="22"/>
          <w:u w:val="single"/>
        </w:rPr>
        <w:t>clause (a)(viii)</w:t>
      </w:r>
      <w:r>
        <w:rPr>
          <w:rFonts w:ascii="Times New Roman" w:hAnsi="Times New Roman"/>
          <w:color w:val="000000"/>
          <w:sz w:val="20"/>
        </w:rPr>
        <w:t xml:space="preserve"> </w:t>
      </w:r>
      <w:r>
        <w:rPr>
          <w:rFonts w:ascii="Times New Roman" w:hAnsi="Times New Roman"/>
          <w:color w:val="000000"/>
          <w:sz w:val="22"/>
        </w:rPr>
        <w:t xml:space="preserve">for an applicable measurement period, combined with the aggregate amount of adjustments for such measurement period pursuant to </w:t>
      </w:r>
      <w:r>
        <w:rPr>
          <w:rFonts w:ascii="Times New Roman" w:hAnsi="Times New Roman"/>
          <w:color w:val="000000"/>
          <w:sz w:val="22"/>
          <w:u w:val="single"/>
        </w:rPr>
        <w:t>clauses (a)(v)</w:t>
      </w:r>
      <w:r>
        <w:rPr>
          <w:rFonts w:ascii="Times New Roman" w:hAnsi="Times New Roman"/>
          <w:color w:val="000000"/>
          <w:sz w:val="22"/>
        </w:rPr>
        <w:t xml:space="preserve">, </w:t>
      </w:r>
      <w:r>
        <w:rPr>
          <w:rFonts w:ascii="Times New Roman" w:hAnsi="Times New Roman"/>
          <w:color w:val="000000"/>
          <w:sz w:val="22"/>
          <w:u w:val="single"/>
        </w:rPr>
        <w:t>(a)(xvi)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(a)(xviii)</w:t>
      </w:r>
      <w:r>
        <w:rPr>
          <w:rFonts w:ascii="Times New Roman" w:hAnsi="Times New Roman"/>
          <w:color w:val="000000"/>
          <w:sz w:val="20"/>
        </w:rPr>
        <w:t xml:space="preserve"> </w:t>
      </w:r>
      <w:r>
        <w:rPr>
          <w:rFonts w:ascii="Times New Roman" w:hAnsi="Times New Roman"/>
          <w:color w:val="000000"/>
          <w:sz w:val="22"/>
        </w:rPr>
        <w:t xml:space="preserve">(with respect to cash items) of this definition and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 xml:space="preserve">of the definition of “Pro Forma Adjustment”, shall not exceed 30% of Consolidated EBITDA for such measurement period (calculated before giving effect to such adjustments);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(ix) any costs or expense incurred by the Borrower or any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(other than Disqualified Equity Interests or any Cure Amount) of the Borrower;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 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Times New Roman" w:hAnsi="Times New Roman"/>
          <w:color w:val="000000"/>
          <w:sz w:val="22"/>
          <w:u w:val="single"/>
        </w:rPr>
        <w:t>paragraph (b)</w:t>
      </w:r>
      <w:r>
        <w:rPr>
          <w:rFonts w:ascii="Times New Roman" w:hAnsi="Times New Roman"/>
          <w:color w:val="000000"/>
          <w:sz w:val="20"/>
        </w:rPr>
        <w:t xml:space="preserve"> </w:t>
      </w:r>
      <w:r>
        <w:rPr>
          <w:rFonts w:ascii="Times New Roman" w:hAnsi="Times New Roman"/>
          <w:color w:val="000000"/>
          <w:sz w:val="22"/>
        </w:rPr>
        <w:t xml:space="preserve">below for any previous period and not added back;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(xi) any net loss included in Consolidated Net Income attributable to non-controlling interests pursuant to the application of Accounting Standards Codification Topic 810-10-45;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(xii) realized foreign exchange losses resulting from the impact of foreign currency changes on the valuation of assets or liabilities on the balance sheet of the Borrower and its Restricted Subsidiaries;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(xiii) net realized losses from Swap Contracts or embedded derivatives that require similar accounting treatment and the application of Accounting Standard Codification Topic 815 and related pronouncements; </w:t>
      </w:r>
      <w:r>
        <w:rPr>
          <w:rFonts w:ascii="Times New Roman" w:hAnsi="Times New Roman"/>
          <w:color w:val="000000"/>
          <w:sz w:val="22"/>
          <w:u w:val="single"/>
        </w:rPr>
        <w:t>plus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(xiv) the amount of board, management, advisory, consulting, refinancing, subsequent transaction and exit fees (including termination fees) and related indemnities and expenses paid or accrued in such period to any director to the extent permitted hereunder;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(xv) [reserved];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(xvi) costs related to the implementation of operational and reporting systems and technology initiatives;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made pursuant to this </w:t>
      </w:r>
      <w:r>
        <w:rPr>
          <w:rFonts w:ascii="Times New Roman" w:hAnsi="Times New Roman"/>
          <w:color w:val="000000"/>
          <w:sz w:val="22"/>
          <w:u w:val="single"/>
        </w:rPr>
        <w:t>clause (a)(xvi)</w:t>
      </w:r>
      <w:r>
        <w:rPr>
          <w:rFonts w:ascii="Times New Roman" w:hAnsi="Times New Roman"/>
          <w:color w:val="000000"/>
          <w:sz w:val="20"/>
        </w:rPr>
        <w:t xml:space="preserve"> </w:t>
      </w:r>
      <w:r>
        <w:rPr>
          <w:rFonts w:ascii="Times New Roman" w:hAnsi="Times New Roman"/>
          <w:color w:val="000000"/>
          <w:sz w:val="22"/>
        </w:rPr>
        <w:t xml:space="preserve">for an applicable measurement period, combined with the aggregate amount of adjustments for such measurement period pursuant to </w:t>
      </w:r>
      <w:r>
        <w:rPr>
          <w:rFonts w:ascii="Times New Roman" w:hAnsi="Times New Roman"/>
          <w:color w:val="000000"/>
          <w:sz w:val="22"/>
          <w:u w:val="single"/>
        </w:rPr>
        <w:t>clauses (a)(v)</w:t>
      </w:r>
      <w:r>
        <w:rPr>
          <w:rFonts w:ascii="Times New Roman" w:hAnsi="Times New Roman"/>
          <w:color w:val="000000"/>
          <w:sz w:val="22"/>
        </w:rPr>
        <w:t xml:space="preserve">, </w:t>
      </w:r>
      <w:r>
        <w:rPr>
          <w:rFonts w:ascii="Times New Roman" w:hAnsi="Times New Roman"/>
          <w:color w:val="000000"/>
          <w:sz w:val="22"/>
          <w:u w:val="single"/>
        </w:rPr>
        <w:t>(a)(viii)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(a)(xviii)</w:t>
      </w:r>
      <w:r>
        <w:rPr>
          <w:rFonts w:ascii="Times New Roman" w:hAnsi="Times New Roman"/>
          <w:color w:val="000000"/>
          <w:sz w:val="20"/>
        </w:rPr>
        <w:t xml:space="preserve"> </w:t>
      </w:r>
      <w:r>
        <w:rPr>
          <w:rFonts w:ascii="Times New Roman" w:hAnsi="Times New Roman"/>
          <w:color w:val="000000"/>
          <w:sz w:val="22"/>
        </w:rPr>
        <w:t xml:space="preserve">(with respect to cash items) of this definition and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 xml:space="preserve">of the definition of “Pro Forma Adjustment”, shall not exceed 30% of Consolidated EBITDA for such measurement period (calculated before giving effect to such adjustments);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(xvii) charges, expenses and costs associated with, or in anticipation of, or preparation for, compliance with the requirements of the Sarbanes-Oxley Act of 2002 and the rules and regulations promulgated in connection therewith and charges, expenses and costs in anticipation of, or preparation for, compliance with the provisions of the Securities Act of 1933, as amended, and the Securities Exchange Act of 1934, as amended, as applicable to companies with equity or debt securities held by the public, the rules of national securities exchange for companies with listed equity or debt securities, including directors’ or managers’ compensation, fees and expense reimbursement, costs, expenses and charges relating to investor relations, shareholder meetings and reports to shareholders or debtholders, directors’ and officers’ insurance and other executive costs, legal and other professional fees, and listing fees (collectively, “</w:t>
      </w:r>
      <w:r>
        <w:rPr>
          <w:rFonts w:ascii="Times New Roman" w:hAnsi="Times New Roman"/>
          <w:color w:val="000000"/>
          <w:sz w:val="22"/>
          <w:u w:val="single"/>
        </w:rPr>
        <w:t>Public Company Costs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(xviii) any extraordinary, exceptional, unusual or nonrecurring gain, loss, charge or expense;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for cash items made pursuant to this </w:t>
      </w:r>
      <w:r>
        <w:rPr>
          <w:rFonts w:ascii="Times New Roman" w:hAnsi="Times New Roman"/>
          <w:color w:val="000000"/>
          <w:sz w:val="22"/>
          <w:u w:val="single"/>
        </w:rPr>
        <w:t>clause (a)(xviii)</w:t>
      </w:r>
      <w:r>
        <w:rPr>
          <w:rFonts w:ascii="Times New Roman" w:hAnsi="Times New Roman"/>
          <w:color w:val="000000"/>
          <w:sz w:val="20"/>
        </w:rPr>
        <w:t xml:space="preserve"> </w:t>
      </w:r>
      <w:r>
        <w:rPr>
          <w:rFonts w:ascii="Times New Roman" w:hAnsi="Times New Roman"/>
          <w:color w:val="000000"/>
          <w:sz w:val="22"/>
        </w:rPr>
        <w:t xml:space="preserve">for an applicable measurement period, combined with the aggregate amount of adjustments for such measurement period pursuant to </w:t>
      </w:r>
      <w:r>
        <w:rPr>
          <w:rFonts w:ascii="Times New Roman" w:hAnsi="Times New Roman"/>
          <w:color w:val="000000"/>
          <w:sz w:val="22"/>
          <w:u w:val="single"/>
        </w:rPr>
        <w:t>clauses (a)(v)</w:t>
      </w:r>
      <w:r>
        <w:rPr>
          <w:rFonts w:ascii="Times New Roman" w:hAnsi="Times New Roman"/>
          <w:color w:val="000000"/>
          <w:sz w:val="22"/>
        </w:rPr>
        <w:t xml:space="preserve">, </w:t>
      </w:r>
      <w:r>
        <w:rPr>
          <w:rFonts w:ascii="Times New Roman" w:hAnsi="Times New Roman"/>
          <w:color w:val="000000"/>
          <w:sz w:val="22"/>
          <w:u w:val="single"/>
        </w:rPr>
        <w:t>(a)(viii)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(xvi)</w:t>
      </w:r>
      <w:r>
        <w:rPr>
          <w:rFonts w:ascii="Times New Roman" w:hAnsi="Times New Roman"/>
          <w:color w:val="000000"/>
          <w:sz w:val="20"/>
        </w:rPr>
        <w:t xml:space="preserve"> </w:t>
      </w:r>
      <w:r>
        <w:rPr>
          <w:rFonts w:ascii="Times New Roman" w:hAnsi="Times New Roman"/>
          <w:color w:val="000000"/>
          <w:sz w:val="22"/>
        </w:rPr>
        <w:t xml:space="preserve">of this definition and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of the definition of “Pro Forma Adjustment”, shall not exceed 30% of Consolidated EBITDA for such measurement period (calculated before giving effect to such adjustments);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decreased (without duplication) by the following:</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non-cash gains increasing Consolidated Net Income of such Person for such period, excluding any non-cash gains to the extent they represent the reversal of an accrual or cash reserve for a potential cash item that reduced Consolidated EBITDA in any prior period and any non-cash gains with respect to cash actually received in a prior period so long as such cash did not increase Consolidated EBITDA in such prior period;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realized foreign exchange income or gains resulting from the impact of foreign currency changes on the valuation of assets or liabilities on the balance sheet of the Borrower and its Restricted Subsidiaries; </w:t>
      </w:r>
      <w:r>
        <w:rPr>
          <w:rFonts w:ascii="Times New Roman" w:hAnsi="Times New Roman"/>
          <w:color w:val="000000"/>
          <w:sz w:val="22"/>
          <w:u w:val="single"/>
        </w:rPr>
        <w:t>plus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any net realized income or gains from any obligations under any Swap Contracts or embedded derivatives that require similar accounting treatment and the application of Accounting Standard Codification Topic 815 and related pronouncements; </w:t>
      </w:r>
      <w:r>
        <w:rPr>
          <w:rFonts w:ascii="Times New Roman" w:hAnsi="Times New Roman"/>
          <w:color w:val="000000"/>
          <w:sz w:val="22"/>
          <w:u w:val="single"/>
        </w:rPr>
        <w:t>plus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(iv) any amount included in Consolidated Net Income of such Person for such period attributable to non-controlling interests pursuant to the application of Accounting Standards Codification Topic 810-10-45;</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increased or decreased (without duplication) by, as applicable, any adjustments resulting from the application of Accounting Standards Codification Topic 460 or any comparable regulation;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increased or decreased (to the extent not already included in determining Consolidated EBITDA) by any Pro Forma Adjustment;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made pursuant to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 xml:space="preserve">of the definition of “Pro Forma Adjustment” for an applicable measurement period, combined with the aggregate amount of adjustments for such measurement period pursuant to </w:t>
      </w:r>
      <w:r>
        <w:rPr>
          <w:rFonts w:ascii="Times New Roman" w:hAnsi="Times New Roman"/>
          <w:color w:val="000000"/>
          <w:sz w:val="22"/>
          <w:u w:val="single"/>
        </w:rPr>
        <w:t>clause (a)(v)</w:t>
      </w:r>
      <w:r>
        <w:rPr>
          <w:rFonts w:ascii="Times New Roman" w:hAnsi="Times New Roman"/>
          <w:color w:val="000000"/>
          <w:sz w:val="22"/>
        </w:rPr>
        <w:t xml:space="preserve">, </w:t>
      </w:r>
      <w:r>
        <w:rPr>
          <w:rFonts w:ascii="Times New Roman" w:hAnsi="Times New Roman"/>
          <w:color w:val="000000"/>
          <w:sz w:val="22"/>
          <w:u w:val="single"/>
        </w:rPr>
        <w:t>(a)(viii)</w:t>
      </w:r>
      <w:r>
        <w:rPr>
          <w:rFonts w:ascii="Times New Roman" w:hAnsi="Times New Roman"/>
          <w:color w:val="000000"/>
          <w:sz w:val="22"/>
        </w:rPr>
        <w:t xml:space="preserve">, </w:t>
      </w:r>
      <w:r>
        <w:rPr>
          <w:rFonts w:ascii="Times New Roman" w:hAnsi="Times New Roman"/>
          <w:color w:val="000000"/>
          <w:sz w:val="22"/>
          <w:u w:val="single"/>
        </w:rPr>
        <w:t>(a)(xvi)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(a)(xviii)</w:t>
      </w:r>
      <w:r>
        <w:rPr>
          <w:rFonts w:ascii="Times New Roman" w:hAnsi="Times New Roman"/>
          <w:color w:val="000000"/>
          <w:sz w:val="20"/>
        </w:rPr>
        <w:t xml:space="preserve"> </w:t>
      </w:r>
      <w:r>
        <w:rPr>
          <w:rFonts w:ascii="Times New Roman" w:hAnsi="Times New Roman"/>
          <w:color w:val="000000"/>
          <w:sz w:val="22"/>
        </w:rPr>
        <w:t>(with respect to cash items) of the definition of “Consolidated EBITDA” shall not exceed 30% of Consolidated EBITDA for such measurement period (calculated before giving effect to such adjustments).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There shall be included in determining Consolidated EBITDA for any period, without duplication,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of by the Borrower or such Restricted Subsidiary during such period (each such Person, property, business or asset acquired and not subsequently so disposed of, an “</w:t>
      </w:r>
      <w:r>
        <w:rPr>
          <w:rFonts w:ascii="Times New Roman" w:hAnsi="Times New Roman"/>
          <w:color w:val="000000"/>
          <w:sz w:val="22"/>
          <w:u w:val="single"/>
        </w:rPr>
        <w:t>Acquired Entity or Business</w:t>
      </w:r>
      <w:r>
        <w:rPr>
          <w:rFonts w:ascii="Times New Roman" w:hAnsi="Times New Roman"/>
          <w:color w:val="000000"/>
          <w:sz w:val="20"/>
        </w:rPr>
        <w:t>”</w:t>
      </w:r>
      <w:r>
        <w:rPr>
          <w:rFonts w:ascii="Times New Roman" w:hAnsi="Times New Roman"/>
          <w:color w:val="000000"/>
          <w:sz w:val="22"/>
        </w:rPr>
        <w:t>), and the Acquired EBITDA of any Unrestricted Subsidiary that is converted into a Restricted Subsidiary during such period (each, a “</w:t>
      </w:r>
      <w:r>
        <w:rPr>
          <w:rFonts w:ascii="Times New Roman" w:hAnsi="Times New Roman"/>
          <w:color w:val="000000"/>
          <w:sz w:val="22"/>
          <w:u w:val="single"/>
        </w:rPr>
        <w:t>Converted Restricted Subsidiary</w:t>
      </w:r>
      <w:r>
        <w:rPr>
          <w:rFonts w:ascii="Times New Roman" w:hAnsi="Times New Roman"/>
          <w:color w:val="000000"/>
          <w:sz w:val="20"/>
        </w:rPr>
        <w:t>”</w:t>
      </w:r>
      <w:r>
        <w:rPr>
          <w:rFonts w:ascii="Times New Roman" w:hAnsi="Times New Roman"/>
          <w:color w:val="000000"/>
          <w:sz w:val="22"/>
        </w:rPr>
        <w:t>), based on the actual Acquired EBITDA of such Acquired Entity or Business or Converted Restricted Subsidiary for such period (including the portion thereof occurring prior to such acquisition) and (B)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Lenders and the Administrative Agent. 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Borrower or any Restricted Subsidiary during such period (each such Person, property, business or asset so sold or disposed of, a “</w:t>
      </w:r>
      <w:r>
        <w:rPr>
          <w:rFonts w:ascii="Times New Roman" w:hAnsi="Times New Roman"/>
          <w:color w:val="000000"/>
          <w:sz w:val="22"/>
          <w:u w:val="single"/>
        </w:rPr>
        <w:t>Sold Entity or Business</w:t>
      </w:r>
      <w:r>
        <w:rPr>
          <w:rFonts w:ascii="Times New Roman" w:hAnsi="Times New Roman"/>
          <w:color w:val="000000"/>
          <w:sz w:val="20"/>
        </w:rPr>
        <w:t>”</w:t>
      </w:r>
      <w:r>
        <w:rPr>
          <w:rFonts w:ascii="Times New Roman" w:hAnsi="Times New Roman"/>
          <w:color w:val="000000"/>
          <w:sz w:val="22"/>
        </w:rPr>
        <w:t>) and the Disposed EBITDA of any Restricted Subsidiary that is converted into an Unrestricted Subsidiary during such period (each, a “</w:t>
      </w:r>
      <w:r>
        <w:rPr>
          <w:rFonts w:ascii="Times New Roman" w:hAnsi="Times New Roman"/>
          <w:color w:val="000000"/>
          <w:sz w:val="22"/>
          <w:u w:val="single"/>
        </w:rPr>
        <w:t>Converted Unrestricted Subsidiary</w:t>
      </w:r>
      <w:r>
        <w:rPr>
          <w:rFonts w:ascii="Times New Roman" w:hAnsi="Times New Roman"/>
          <w:color w:val="000000"/>
          <w:sz w:val="20"/>
        </w:rPr>
        <w:t>”</w:t>
      </w:r>
      <w:r>
        <w:rPr>
          <w:rFonts w:ascii="Times New Roman" w:hAnsi="Times New Roman"/>
          <w:color w:val="000000"/>
          <w:sz w:val="22"/>
        </w:rPr>
        <w:t>), based on the actual Disposed EBITDA of such Sold Entity or Business or Converted Unrestricted Subsidiary for such period (including the portion thereof occurring prior to such sale, transfer or disposition).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Interest Expense</w:t>
      </w:r>
      <w:r>
        <w:rPr>
          <w:rFonts w:ascii="Times New Roman" w:hAnsi="Times New Roman"/>
          <w:color w:val="000000"/>
          <w:sz w:val="20"/>
        </w:rPr>
        <w:t xml:space="preserve">” </w:t>
      </w:r>
      <w:r>
        <w:rPr>
          <w:rFonts w:ascii="Times New Roman" w:hAnsi="Times New Roman"/>
          <w:color w:val="000000"/>
          <w:sz w:val="22"/>
        </w:rPr>
        <w:t>means, with respect to any Person for any period, without duplication, the sum of:</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(1) consolidated interest expense of such Person and its Restricted Subsidiaries for such period, to the extent such 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(d) the interest component of Capitalized Lease Obligations and (e) net payments, if any, pursuant to interest rate obligations under any Swap Contracts with respect to Indebtedness); </w:t>
      </w:r>
      <w:r>
        <w:rPr>
          <w:rFonts w:ascii="Times New Roman" w:hAnsi="Times New Roman"/>
          <w:color w:val="000000"/>
          <w:sz w:val="22"/>
          <w:u w:val="single"/>
        </w:rPr>
        <w:t>plus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(2) consolidated capitalized interest of such Person and its Restricted Subsidiaries for such period, whether paid or accrued; </w:t>
      </w:r>
      <w:r>
        <w:rPr>
          <w:rFonts w:ascii="Times New Roman" w:hAnsi="Times New Roman"/>
          <w:color w:val="000000"/>
          <w:sz w:val="22"/>
          <w:u w:val="single"/>
        </w:rPr>
        <w:t>less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(3) interest income for such period.</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Net Income</w:t>
      </w:r>
      <w:r>
        <w:rPr>
          <w:rFonts w:ascii="Times New Roman" w:hAnsi="Times New Roman"/>
          <w:color w:val="000000"/>
          <w:sz w:val="20"/>
        </w:rPr>
        <w:t xml:space="preserve">” </w:t>
      </w:r>
      <w:r>
        <w:rPr>
          <w:rFonts w:ascii="Times New Roman" w:hAnsi="Times New Roman"/>
          <w:color w:val="000000"/>
          <w:sz w:val="22"/>
        </w:rPr>
        <w:t xml:space="preserve">means, with respect to any Person for any period, the net income (loss) of such Person and its Restricted Subsidiaries for such period determined on a consolidated basis on the basis of GAAP;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there will not be included in such Consolidated Net Income: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(1) any net income (loss) of any Person if such Person is not a Restricted Subsidiary, except that the Borrower’s equity in the net income of any such Person for such period will be included in such Consolidated Net Income up to the aggregate amount of cash or Cash Equivalents actually distributed (or, so long as such Person is not (x) a JV Entity with outstanding third party indebtedness for borrowed money or (y) an Unrestricted Subsidiary, that (as reasonably determined by a Responsible Officer of the Borrower) could have been distributed by such Person during such period to the Borrower or a Restricted Subsidiary) as a dividend or other distribution or return on investment, subject, in the case of a dividend or other distribution or return on investment to a Restricted Subsidiary, to the limitations contained in </w:t>
      </w:r>
      <w:r>
        <w:rPr>
          <w:rFonts w:ascii="Times New Roman" w:hAnsi="Times New Roman"/>
          <w:color w:val="000000"/>
          <w:sz w:val="22"/>
          <w:u w:val="single"/>
        </w:rPr>
        <w:t>clause (2)</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(2) solely for the purpose of determining the Available Amount, any net income (loss) of any Restricted Subsidiary (other than any Guarantor) if such Subsidiary is subject to restrictions, directly or indirectly, on the payment of dividends or the making of distributions by such Restricted Subsidiary, directly or indirectly, to the Borrower or a Guarantor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and (b) restrictions pursuant to the Loan Documents), except that the Borrower’s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Borrower or another Restricted Subsidiary as a dividend or other distribution (subject, in the case of a dividend to another Restricted Subsidiary, to the limitation contained above in this clause);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(3) any net gain (or loss) from disposed, abandoned or discontinued operations and any net gain (or loss) on disposal of disposed, discontinued or abandoned operations;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(4) any net gain (or loss) realized upon the sale or other disposition of any asset or disposed operations of the Borrower or any Restricted Subsidiary (including pursuant to any sale/leaseback transaction) which is not sold or otherwise disposed of in the ordinary course of business (as determined in good faith by a Responsible Officer or the board of directors of the Borrower);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(5) [reserved];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(6) the cumulative effect of a change in accounting principles;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(7) 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(8) all deferred financing costs written off and premiums paid or other expenses incurred directly in connection with any early extinguishment of Indebtedness and any net gain (loss) from any write-off or forgiveness of Indebtedness;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(9) any unrealized gains or losses in respect of any obligations under any Swap Contracts or any ineffectiveness recognized in earnings related to hedge transactions or the fair value of changes therein recognized in earnings for derivatives that do not qualify as hedge transactions, in each case, in respect of any obligations under any Swap Contracts;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(10) any unrealized foreign currency translation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(11) any unrealized foreign currency translation or transaction gains or losses in respect of Indebtedness or other obligations of the Borrower or any Restricted Subsidiary owing to the Borrower or any Restricted Subsidiary;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(12) any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the Borrower and its Restricted Subsidiaries), as a result of any consummated acquisition, or the amortization or write-off of any amounts thereof (including any write-off of in process research and development);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(13) any impairment charge, write-down or write-off, including impairment charges, write-downs or write-offs relating to goodwill, intangible assets, long-lived assets, investments in debt and equity securities or as a result of a change in law or regulation;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(14) any after-tax effect of income (loss) from the early extinguishment or cancellation of Indebtedness or any obligations under any Swap Contracts or other derivative instruments;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(15) accruals and reserves that are established within twelve months after the Closing Date that are so required to be established as a result of the Transactions in accordance with GAAP;</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(16) any net unrealized gains and losses resulting from Swap Contracts or embedded derivatives that require similar accounting treatment and the application of Accounting Standards Codification Topic 815 and related pronouncements;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(17) any deferred tax expense associated with tax deductions or net operating losses arising as a result of the Transactions, or the release of any valuation allowance.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In addition, to the extent not already excluded from the Consolidated Net Income of such Person and its Restricted Subsidiaries, notwithstanding anything to the contrary in the foregoing, Consolidated Net Income shall exclude (i) any expenses and charges that are (x) reimbursed by indemnification or other reimbursement provisions or (y) reasonably expected to be reimbursed pursuant to indemnification or other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reimbursement provisions (and only to the extent that such amount is in fact reimbursed within 365 days of the date of such evidence (with a deduction for any amount so added back to the extent not so reimbursed within such 365 days)), in each case, in connection with any investment or any sale, conveyance, transfer or other disposition of assets permitted hereunder (it being understood and agreed that if such Person has notified a third party of such amount to be reimbursed or indemnified and such third party has not denied its reimbursement or indemnification obligation, such amounts shall also be excluded) and (ii)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expenses with respect to liability or casualty events or business interruption.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Total Debt</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aggregate principal amount of Indebtedness of the Borrower and its Restricted Subsidiaries outstanding on such date, determined on a consolidated basis in accordance with GAAP (but excluding the effects of any discounting of Indebtedness resulting from the application of purchase accounting in connection with the Transactions or any Permitted Acquisition), consisting of Indebtedness for borrowed money, Capitalized Lease Obligations, Disqualified Equity Interests and debt obligations evidenced by bonds, debentures, notes, loan agreements or other similar instruments;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Consolidated Total Debt shall not include (x) letters of credit and banker’s acceptances, except to the extent of any unreimbursed amounts thereunder and (y) obligations under Swap Contracts entered into in the ordinary course of business and not for speculative purposes.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Consolidated Working Capital</w:t>
      </w:r>
      <w:r>
        <w:rPr>
          <w:rFonts w:ascii="Times New Roman" w:hAnsi="Times New Roman"/>
          <w:color w:val="000000"/>
          <w:sz w:val="20"/>
        </w:rPr>
        <w:t xml:space="preserve">” </w:t>
      </w:r>
      <w:r>
        <w:rPr>
          <w:rFonts w:ascii="Times New Roman" w:hAnsi="Times New Roman"/>
          <w:color w:val="000000"/>
          <w:sz w:val="22"/>
        </w:rPr>
        <w:t>means, at any date, the excess of (x) the sum of (i) all amounts (other than cash and Cash Equivalents) that would, in conformity with GAAP, be set forth opposite the caption “total current assets” (or any like caption) on a consolidated balance sheet of the Borrower and its Restricted Subsidiaries at such date and (ii) long-term accounts receivable over (y) the sum of (i) all amounts that would, in conformity with GAAP, be set forth opposite the caption “total current liabilities” (or any like caption) on a consolidated balance sheet of the Borrower and its Restricted Subsidiaries on such date and (ii) long-term deferred revenue, but excluding, without duplication, (a) the current portion of any Funded Debt or other long-term liabilities, (b) all Indebtedness consisting of Revolving Credit Loans, Swing Line Loans and L/C Obligations to the extent otherwise included therein, (c) the current portion of interest, (d) the current portion of current and deferred income taxes, (e) the current portion of any Capitalized Lease Obligations, (f) deferred revenue arising from cash receipts that are earmarked for specific projects, (g) the current portion of deferred acquisition costs and (h) current accrued costs associated with any restructuring or business optimization (including accrued severance and accrued facility closure costs).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Contract Consideration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has the meaning specified in the definition of “Affiliate.”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Control Agreement</w:t>
      </w:r>
      <w:r>
        <w:rPr>
          <w:rFonts w:ascii="Times New Roman" w:hAnsi="Times New Roman"/>
          <w:color w:val="000000"/>
          <w:sz w:val="20"/>
        </w:rPr>
        <w:t xml:space="preserve">” </w:t>
      </w:r>
      <w:r>
        <w:rPr>
          <w:rFonts w:ascii="Times New Roman" w:hAnsi="Times New Roman"/>
          <w:color w:val="000000"/>
          <w:sz w:val="22"/>
        </w:rPr>
        <w:t>means a deposit account control agreement or securities account control agreement, as the case may be, in form and substance reasonably acceptable to the Administrative Agent, executed and delivered by a Loan Party, the Administrative Agent, and depository bank (with respect to a deposit account) or a securities intermediary (with respect to a securities account).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Converted Restricted Subsidiary</w:t>
      </w:r>
      <w:r>
        <w:rPr>
          <w:rFonts w:ascii="Times New Roman" w:hAnsi="Times New Roman"/>
          <w:color w:val="000000"/>
          <w:sz w:val="20"/>
        </w:rPr>
        <w:t xml:space="preserve">” </w:t>
      </w:r>
      <w:r>
        <w:rPr>
          <w:rFonts w:ascii="Times New Roman" w:hAnsi="Times New Roman"/>
          <w:color w:val="000000"/>
          <w:sz w:val="22"/>
        </w:rPr>
        <w:t>has the meaning specified in the definition of “Consolidated EBITDA.”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Converted Unrestricted Subsidiary</w:t>
      </w:r>
      <w:r>
        <w:rPr>
          <w:rFonts w:ascii="Times New Roman" w:hAnsi="Times New Roman"/>
          <w:color w:val="000000"/>
          <w:sz w:val="20"/>
        </w:rPr>
        <w:t xml:space="preserve">” </w:t>
      </w:r>
      <w:r>
        <w:rPr>
          <w:rFonts w:ascii="Times New Roman" w:hAnsi="Times New Roman"/>
          <w:color w:val="000000"/>
          <w:sz w:val="22"/>
        </w:rPr>
        <w:t>has the meaning specified in the definition of “Consolidated EBITDA.”</w:t>
      </w:r>
    </w:p>
    <w:p>
      <w:pPr>
        <w:pStyle w:val="TextBody"/>
        <w:bidi w:val="0"/>
        <w:spacing w:before="0" w:after="240"/>
        <w:ind w:left="0" w:right="0" w:firstLine="720"/>
        <w:jc w:val="both"/>
        <w:rPr/>
      </w:pPr>
      <w:r>
        <w:rPr>
          <w:color w:val="000000"/>
        </w:rPr>
        <w:t>“</w:t>
      </w:r>
      <w:r>
        <w:rPr>
          <w:rFonts w:ascii="Times New Roman" w:hAnsi="Times New Roman"/>
          <w:sz w:val="22"/>
        </w:rPr>
        <w:t>Covenant Holiday Acquisition</w:t>
      </w:r>
      <w:r>
        <w:rPr>
          <w:rFonts w:ascii="Times New Roman" w:hAnsi="Times New Roman"/>
          <w:color w:val="000000"/>
          <w:sz w:val="20"/>
        </w:rPr>
        <w:t xml:space="preserve">” </w:t>
      </w:r>
      <w:r>
        <w:rPr>
          <w:rFonts w:ascii="Times New Roman" w:hAnsi="Times New Roman"/>
          <w:color w:val="000000"/>
          <w:sz w:val="22"/>
        </w:rPr>
        <w:t>means a Permitted Acquisition or the acquisition by the Borrower or any of its Subsidiaries of any acquired entity or business approved by the Required Lenders (a) the cash consideration in respect of which is $75,000,000 or more and (b) for which the Borrower delivers to the Administrative Agent an officer’s certificate designating such acquisition as a “Covenant Holiday Acquisition” no later than the date by which the Borrower must deliver financial statements in accordance with Section 6.01(a) or 6.01(b) in respect of the fiscal quarter during which such acquisition is consummated.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Credit Extension</w:t>
      </w:r>
      <w:r>
        <w:rPr>
          <w:rFonts w:ascii="Times New Roman" w:hAnsi="Times New Roman"/>
          <w:color w:val="000000"/>
          <w:sz w:val="20"/>
        </w:rPr>
        <w:t xml:space="preserve">” </w:t>
      </w:r>
      <w:r>
        <w:rPr>
          <w:rFonts w:ascii="Times New Roman" w:hAnsi="Times New Roman"/>
          <w:color w:val="000000"/>
          <w:sz w:val="22"/>
        </w:rPr>
        <w:t>means a Borrowing or an L/C Credit Extension, as the context may require.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Cure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Cure Period</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Cure Right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Debtor Relief Laws</w:t>
      </w:r>
      <w:r>
        <w:rPr>
          <w:rFonts w:ascii="Times New Roman" w:hAnsi="Times New Roman"/>
          <w:color w:val="000000"/>
          <w:sz w:val="20"/>
        </w:rPr>
        <w:t xml:space="preserve">” </w:t>
      </w:r>
      <w:r>
        <w:rPr>
          <w:rFonts w:ascii="Times New Roman" w:hAnsi="Times New Roman"/>
          <w:color w:val="000000"/>
          <w:sz w:val="22"/>
        </w:rPr>
        <w:t>means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Declined Proceeds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2.05(b)(vi)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means any event or condition that constitutes an Event of Default or that, with the giving of any notice, the passage of time, or both, would be an Event of Default.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Default Rate</w:t>
      </w:r>
      <w:r>
        <w:rPr>
          <w:rFonts w:ascii="Times New Roman" w:hAnsi="Times New Roman"/>
          <w:color w:val="000000"/>
          <w:sz w:val="20"/>
        </w:rPr>
        <w:t xml:space="preserve">” </w:t>
      </w:r>
      <w:r>
        <w:rPr>
          <w:rFonts w:ascii="Times New Roman" w:hAnsi="Times New Roman"/>
          <w:color w:val="000000"/>
          <w:sz w:val="22"/>
        </w:rPr>
        <w:t xml:space="preserve">means an interest rate equal to (a) with respect to any overdue principal for any Loan, the applicable interest rate for such Loan plus 2.00%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SOFR Loans, the determination of the applicable interest rate is subject to </w:t>
      </w:r>
      <w:r>
        <w:rPr>
          <w:rFonts w:ascii="Times New Roman" w:hAnsi="Times New Roman"/>
          <w:color w:val="000000"/>
          <w:sz w:val="22"/>
          <w:u w:val="single"/>
        </w:rPr>
        <w:t>Section 2.02(c)</w:t>
      </w:r>
      <w:r>
        <w:rPr>
          <w:rFonts w:ascii="Times New Roman" w:hAnsi="Times New Roman"/>
          <w:color w:val="000000"/>
          <w:sz w:val="20"/>
        </w:rPr>
        <w:t xml:space="preserve"> </w:t>
      </w:r>
      <w:r>
        <w:rPr>
          <w:rFonts w:ascii="Times New Roman" w:hAnsi="Times New Roman"/>
          <w:color w:val="000000"/>
          <w:sz w:val="22"/>
        </w:rPr>
        <w:t xml:space="preserve">to the extent that SOFR Loans may not be converted to, or continued as, SOFR Loans, pursuant thereto) and (b) with respect to any other overdue amount, including interest, the interest rate applicable to Base Rate Loans plus 2.00% </w:t>
      </w:r>
      <w:r>
        <w:rPr>
          <w:rFonts w:ascii="Times New Roman" w:hAnsi="Times New Roman"/>
          <w:i/>
          <w:color w:val="000000"/>
          <w:sz w:val="22"/>
        </w:rPr>
        <w:t>per annum</w:t>
      </w:r>
      <w:r>
        <w:rPr>
          <w:rFonts w:ascii="Times New Roman" w:hAnsi="Times New Roman"/>
          <w:color w:val="000000"/>
          <w:sz w:val="22"/>
        </w:rPr>
        <w:t>, in each case, to the fullest extent permitted by applicable Laws.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 xml:space="preserve">means any Lender that (a) has failed, within two (2) Business Days of the date required to be funded or paid, to (i) fund any portion of its Loans required to be funded by it, (ii) fund any portion of its participations in Letters of Credit or Swing Line Loans required to be funded by it or (iii) pay over to the Administrative Agent, each L/C Issuer, each Swing Line Lender or any other Lender any other amount required to be paid by it hereunder, unless, in the case of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above, such Lender notifies the Administrative Agent in writing that such failure is the result of such Lender’s good faith determination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that a condition precedent to funding (specifically identified and including the particular default, if any) has not been satisfied, (b) has notified the Borrower or the Administrative Agent, each L/C Issuer, each Swing Line Lender or any other Lender in writing that it does not intend or expect to comply with any of its funding obligations under this Agreement (unless such writing indicates that such position is based on such Lender’s good faith determination that a condition precedent (specifically identified and including the particular default, if any) to funding a Loan cannot be satisfied), (c) has failed, within three (3) Business Days after request by the Administrative Agent, any L/C Issuer, any Swing Line Lender or any other Lender, acting in good faith, to provide a certification in writing from an authorized officer of such Lender that it will comply with its obligations to fund prospective Loans and participations in then outstanding Letters of Credit and Swing Line Loans under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upon such Administrative Agent’s, L/C Issuer’s, Swing Line Lender’s or Lender’s receipt of such certification in form and substance satisfactory to it and the Administrative Agent, (d) has become the subject of a Bankruptcy Event, or (e) has become the subject of a Bail-In Action. Any determination by the Administrative Agent that a Lender is a Defaulting Lender under any one or more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above, and of the effective date of such status, shall be conclusive and binding absent manifest error, and such Lender shall be deemed to be a Defaulting Lender (subject to the last paragraph of </w:t>
      </w:r>
      <w:r>
        <w:rPr>
          <w:rFonts w:ascii="Times New Roman" w:hAnsi="Times New Roman"/>
          <w:color w:val="000000"/>
          <w:sz w:val="22"/>
          <w:u w:val="single"/>
        </w:rPr>
        <w:t>Section 2.16</w:t>
      </w:r>
      <w:r>
        <w:rPr>
          <w:rFonts w:ascii="Times New Roman" w:hAnsi="Times New Roman"/>
          <w:color w:val="000000"/>
          <w:sz w:val="22"/>
        </w:rPr>
        <w:t>) as of the date established therefor by the Administrative Agent in a written notice of such determination, which shall be delivered by the Administrative Agent to the Borrower, any L/C Issuer, any Swing Line Lender and each other Lender promptly following such determination.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Delaware Divided LLC</w:t>
      </w:r>
      <w:r>
        <w:rPr>
          <w:rFonts w:ascii="Times New Roman" w:hAnsi="Times New Roman"/>
          <w:color w:val="000000"/>
          <w:sz w:val="20"/>
        </w:rPr>
        <w:t xml:space="preserve">” </w:t>
      </w:r>
      <w:r>
        <w:rPr>
          <w:rFonts w:ascii="Times New Roman" w:hAnsi="Times New Roman"/>
          <w:color w:val="000000"/>
          <w:sz w:val="22"/>
        </w:rPr>
        <w:t>means a Delaware LLC which has been formed upon the consummation of a Delaware LLC Division.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Delaware LLC</w:t>
      </w:r>
      <w:r>
        <w:rPr>
          <w:rFonts w:ascii="Times New Roman" w:hAnsi="Times New Roman"/>
          <w:color w:val="000000"/>
          <w:sz w:val="20"/>
        </w:rPr>
        <w:t xml:space="preserve">” </w:t>
      </w:r>
      <w:r>
        <w:rPr>
          <w:rFonts w:ascii="Times New Roman" w:hAnsi="Times New Roman"/>
          <w:color w:val="000000"/>
          <w:sz w:val="22"/>
        </w:rPr>
        <w:t>means any limited liability company organized or formed under the laws of the State of Delaware.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Delaware LLC Division</w:t>
      </w:r>
      <w:r>
        <w:rPr>
          <w:rFonts w:ascii="Times New Roman" w:hAnsi="Times New Roman"/>
          <w:color w:val="000000"/>
          <w:sz w:val="20"/>
        </w:rPr>
        <w:t xml:space="preserve">” </w:t>
      </w:r>
      <w:r>
        <w:rPr>
          <w:rFonts w:ascii="Times New Roman" w:hAnsi="Times New Roman"/>
          <w:color w:val="000000"/>
          <w:sz w:val="22"/>
        </w:rPr>
        <w:t>means the statutory division of any Delaware LLC into two or more Delaware LLCs pursuant to section 18-217 of the Delaware Limited Liability Company Act.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Designated Non-Cash Consideration</w:t>
      </w:r>
      <w:r>
        <w:rPr>
          <w:rFonts w:ascii="Times New Roman" w:hAnsi="Times New Roman"/>
          <w:color w:val="000000"/>
          <w:sz w:val="20"/>
        </w:rPr>
        <w:t xml:space="preserve">” </w:t>
      </w:r>
      <w:r>
        <w:rPr>
          <w:rFonts w:ascii="Times New Roman" w:hAnsi="Times New Roman"/>
          <w:color w:val="000000"/>
          <w:sz w:val="22"/>
        </w:rPr>
        <w:t xml:space="preserve">means the fair market value of non-cash consideration received by the Borrower or a Restricted Subsidiary in connection with a Disposition pursuant to </w:t>
      </w:r>
      <w:r>
        <w:rPr>
          <w:rFonts w:ascii="Times New Roman" w:hAnsi="Times New Roman"/>
          <w:color w:val="000000"/>
          <w:sz w:val="22"/>
          <w:u w:val="single"/>
        </w:rPr>
        <w:t>Section 7.05(m)</w:t>
      </w:r>
      <w:r>
        <w:rPr>
          <w:rFonts w:ascii="Times New Roman" w:hAnsi="Times New Roman"/>
          <w:color w:val="000000"/>
          <w:sz w:val="20"/>
        </w:rPr>
        <w:t xml:space="preserve"> </w:t>
      </w:r>
      <w:r>
        <w:rPr>
          <w:rFonts w:ascii="Times New Roman" w:hAnsi="Times New Roman"/>
          <w:color w:val="000000"/>
          <w:sz w:val="22"/>
        </w:rPr>
        <w:t>that is designated as Designated Non-Cash Consideration pursuant to a certificate of a Responsible Officer of the Borrower setting forth the basis of such valuation.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Discount Range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Discounted Prepayment Option Notice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Discounted Voluntary Prepayment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Discounted Voluntary Prepayment Notice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2.05(d)(v)</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Disposed EBITDA</w:t>
      </w:r>
      <w:r>
        <w:rPr>
          <w:rFonts w:ascii="Times New Roman" w:hAnsi="Times New Roman"/>
          <w:color w:val="000000"/>
          <w:sz w:val="20"/>
        </w:rPr>
        <w:t xml:space="preserve">” </w:t>
      </w:r>
      <w:r>
        <w:rPr>
          <w:rFonts w:ascii="Times New Roman" w:hAnsi="Times New Roman"/>
          <w:color w:val="000000"/>
          <w:sz w:val="22"/>
        </w:rPr>
        <w:t>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Disposition</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Dispose</w:t>
      </w:r>
      <w:r>
        <w:rPr>
          <w:rFonts w:ascii="Times New Roman" w:hAnsi="Times New Roman"/>
          <w:color w:val="000000"/>
          <w:sz w:val="20"/>
        </w:rPr>
        <w:t xml:space="preserve">” </w:t>
      </w:r>
      <w:r>
        <w:rPr>
          <w:rFonts w:ascii="Times New Roman" w:hAnsi="Times New Roman"/>
          <w:color w:val="000000"/>
          <w:sz w:val="22"/>
        </w:rPr>
        <w:t>means the sale, transfer, license, lease or other disposition (including (a) any Sale Leaseback and any sale of Equity Interests and (b) any disposition of property to a Delaware Divided LLC pursuant to a Delaware LLC Division) of any property by any Person, including any sale,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assignment, transfer or other disposal, with or without recourse, of any notes or accounts receivable or any rights and claims associated therewith;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(i) “Disposition” and “Dispose” shall not be deemed to include any issuance by the Borrower of any of its Equity Interests to another Person and (ii) no transaction or series of related transactions shall be considered a “Disposition” for purposes of Section 2.05(b)(ii) or Section 7.05 unless the fair market value (as determined in good faith by the Borrower) of the property disposed of in such transaction or series of related transactions shall exceed $10,000,000.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Disqualified Equity Interests</w:t>
      </w:r>
      <w:r>
        <w:rPr>
          <w:rFonts w:ascii="Times New Roman" w:hAnsi="Times New Roman"/>
          <w:color w:val="000000"/>
          <w:sz w:val="20"/>
        </w:rPr>
        <w:t xml:space="preserve">” </w:t>
      </w:r>
      <w:r>
        <w:rPr>
          <w:rFonts w:ascii="Times New Roman" w:hAnsi="Times New Roman"/>
          <w:color w:val="000000"/>
          <w:sz w:val="22"/>
        </w:rPr>
        <w:t>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all Commitments and all outstanding Letters of Credit),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Latest Maturity Date at the time such Equity Interests are issued.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Disqualified Lenders</w:t>
      </w:r>
      <w:r>
        <w:rPr>
          <w:rFonts w:ascii="Times New Roman" w:hAnsi="Times New Roman"/>
          <w:color w:val="000000"/>
          <w:sz w:val="20"/>
        </w:rPr>
        <w:t xml:space="preserve">” </w:t>
      </w:r>
      <w:r>
        <w:rPr>
          <w:rFonts w:ascii="Times New Roman" w:hAnsi="Times New Roman"/>
          <w:color w:val="000000"/>
          <w:sz w:val="22"/>
        </w:rPr>
        <w:t xml:space="preserve">means (i) such Persons that have been identified in writing to the Administrative Agent on or prior to the Closing Date, (ii) competitors of the Borrower and its Subsidiaries that have been specified in writing by the Borrower to the Administrative Agent from time to time and (iii) any of their Affiliates of the Persons identified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xml:space="preserve">) (other than, in the case of </w:t>
      </w:r>
      <w:r>
        <w:rPr>
          <w:rFonts w:ascii="Times New Roman" w:hAnsi="Times New Roman"/>
          <w:color w:val="000000"/>
          <w:sz w:val="22"/>
          <w:u w:val="single"/>
        </w:rPr>
        <w:t>clause (ii)</w:t>
      </w:r>
      <w:r>
        <w:rPr>
          <w:rFonts w:ascii="Times New Roman" w:hAnsi="Times New Roman"/>
          <w:color w:val="000000"/>
          <w:sz w:val="22"/>
        </w:rPr>
        <w:t xml:space="preserve">, Affiliates that are bona fide debt funds) that are (x) identified in writing from time to time to the Administrative Agent by the Borrower or (y) clearly identifiable on the basis of such Affiliates’ name;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updates to the list shall be deemed to retroactively disqualify any parties that have previously acquired an assignment or participation interest in respect of the Loans from continuing to hold or vote such previously acquired assignments and participations on the terms set forth herein for Lenders that are not Disqualified Lenders (it being understood and agreed that such prohibitions with respect to Disqualified Lenders shall apply to any potential future assignments or participations to any such parties). The schedule of Disqualified Lenders shall be maintained with the Administrative Agent and may be communicated to a Lender upon request to the Administrative Agent (with concurrent notice to the Borrower) but shall not otherwise be posted or made available to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Dollar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mean lawful money of the United States.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Domestic Foreign Holding Company</w:t>
      </w:r>
      <w:r>
        <w:rPr>
          <w:rFonts w:ascii="Times New Roman" w:hAnsi="Times New Roman"/>
          <w:color w:val="000000"/>
          <w:sz w:val="20"/>
        </w:rPr>
        <w:t xml:space="preserve">” </w:t>
      </w:r>
      <w:r>
        <w:rPr>
          <w:rFonts w:ascii="Times New Roman" w:hAnsi="Times New Roman"/>
          <w:color w:val="000000"/>
          <w:sz w:val="22"/>
        </w:rPr>
        <w:t>means any Domestic Subsidiary that owns no material assets (directly or through one or more Subsidiaries) other than (i) capital stock (or capital stock and debt) of one or more Foreign Subsidiaries that are CFCs and/or (ii) capital stock (or capital stock and debt) of Persons owning no material assets (directly or through one or more Subsidiaries) other than assets described in clause (i).</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means any Subsidiary that is organized under the laws of the United States, any state thereof or the District of Columbia.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ECF Percentage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of this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definition, or (c) any financial institution established in an EEA Member Country which is a subsidiary of an institution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of this definition and is subject to consolidated supervision with its parent.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Effective Yield</w:t>
      </w:r>
      <w:r>
        <w:rPr>
          <w:rFonts w:ascii="Times New Roman" w:hAnsi="Times New Roman"/>
          <w:color w:val="000000"/>
          <w:sz w:val="20"/>
        </w:rPr>
        <w:t xml:space="preserve">” </w:t>
      </w:r>
      <w:r>
        <w:rPr>
          <w:rFonts w:ascii="Times New Roman" w:hAnsi="Times New Roman"/>
          <w:color w:val="000000"/>
          <w:sz w:val="22"/>
        </w:rPr>
        <w:t xml:space="preserve">means, with respect to any Indebtedness, as of any date of determination, the sum of (i) the higher of (A) Term SOFR (or other applicable similar rate) on such date for a deposit in Dollars with a maturity of one month and (B) the Term SOFR “floor,” if any, with respect thereto as of such date, (ii) the Applicable Rate (or other applicable margin) as of such date for SOFR Loans (or other loans that accrue interest by reference to a similar reference rate, but without giving effect to any decreases in the Applicable Rate (or other applicable margin) based on any ratio (or a similar pricing stepdown mechanism)) and (iii) the amount of original issue discount and upfront fees thereon (converted to yield assuming a four-year average life and without any present value discount), but excluding the effect of customary arrangement, commitment, structuring, underwriting, ticking, unused line and amendment fees paid or payable to the lead arrangers (or their affiliates) in their respective capacities as such in connection with the applicable facility (regardless of whether such fees are paid to or shared in whole or in part with any other lender) and any other fees that are not generally paid to all lenders (or their respective affiliates) ratably with respect to any such facility and that are paid or payable in connection with any such facility;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amounts set forth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above for any term loans that are not incurred under this Agreement shall be based on the stated interest rate basis for such term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means any Assignee permitted by and consented to in accordance with </w:t>
      </w:r>
      <w:r>
        <w:rPr>
          <w:rFonts w:ascii="Times New Roman" w:hAnsi="Times New Roman"/>
          <w:color w:val="000000"/>
          <w:sz w:val="22"/>
          <w:u w:val="single"/>
        </w:rPr>
        <w:t>Section 10.07(b)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EMU Legislation</w:t>
      </w:r>
      <w:r>
        <w:rPr>
          <w:rFonts w:ascii="Times New Roman" w:hAnsi="Times New Roman"/>
          <w:color w:val="000000"/>
          <w:sz w:val="20"/>
        </w:rPr>
        <w:t xml:space="preserve">” </w:t>
      </w:r>
      <w:r>
        <w:rPr>
          <w:rFonts w:ascii="Times New Roman" w:hAnsi="Times New Roman"/>
          <w:color w:val="000000"/>
          <w:sz w:val="22"/>
        </w:rPr>
        <w:t>means the legislative measures of the European Council for the introduction of, changeover to or operation of a single or unified European currency.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Environment</w:t>
      </w:r>
      <w:r>
        <w:rPr>
          <w:rFonts w:ascii="Times New Roman" w:hAnsi="Times New Roman"/>
          <w:color w:val="000000"/>
          <w:sz w:val="20"/>
        </w:rPr>
        <w:t xml:space="preserve">” </w:t>
      </w:r>
      <w:r>
        <w:rPr>
          <w:rFonts w:ascii="Times New Roman" w:hAnsi="Times New Roman"/>
          <w:color w:val="000000"/>
          <w:sz w:val="22"/>
        </w:rPr>
        <w:t>means ambient air, indoor or outdoor air, surface water, groundwater, drinking water, soil, surface and subsurface strata, and natural resources such as wetlands, flora and fauna.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means any and all applicable Laws relating to pollution, protection of the Environment or to the generation, transport, storage, use, treatment, handling, disposal, Release or threat of Release of any Hazardous Materials or, to the extent relating to exposure to Hazardous Materials, human health or safety.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Environmental Liability</w:t>
      </w:r>
      <w:r>
        <w:rPr>
          <w:rFonts w:ascii="Times New Roman" w:hAnsi="Times New Roman"/>
          <w:color w:val="000000"/>
          <w:sz w:val="20"/>
        </w:rPr>
        <w:t xml:space="preserve">” </w:t>
      </w:r>
      <w:r>
        <w:rPr>
          <w:rFonts w:ascii="Times New Roman" w:hAnsi="Times New Roman"/>
          <w:color w:val="000000"/>
          <w:sz w:val="22"/>
        </w:rPr>
        <w:t>means any liability, contingent or otherwise (including any liability for damages, costs of environmental remediation, fines, penalties or indemnities) of any Loan Party or any of its respective Subsidiaries directly or indirectly resulting from or based upon (a) any Environmental Law, (b) the generation, use, handling, transportation, storage, disposal or treatment of any Hazardous Materials, (c) exposure of any Person to any Hazardous Materials, (d) the Release or threatened Release of any Hazardous Materials or (e) any contract, agreement or other consensual arrangement to the extent liability is assumed or imposed with respect to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means, with respect to any Person, all of the shares, interests, rights, participations or other equivalents (however designated) of capital stock of (or other ownership or profit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interests or units in) such Person and all of the warrants, options or other rights for the purchase, acquisition or exchange from such Person of any of the foregoing (including through convertible securities).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means any trade or business (whether or not incorporated) that is under common control with the Borrower and is treated as a single employer within the meaning of Section 414(b) or (c) of the Code (or, solely for purposes of Section 412 of the Code, under Section 414(m) or (o) of the Code) or Section 4001 of ERISA.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ERISA Event</w:t>
      </w:r>
      <w:r>
        <w:rPr>
          <w:rFonts w:ascii="Times New Roman" w:hAnsi="Times New Roman"/>
          <w:color w:val="000000"/>
          <w:sz w:val="20"/>
        </w:rPr>
        <w:t xml:space="preserve">” </w:t>
      </w:r>
      <w:r>
        <w:rPr>
          <w:rFonts w:ascii="Times New Roman" w:hAnsi="Times New Roman"/>
          <w:color w:val="000000"/>
          <w:sz w:val="22"/>
        </w:rPr>
        <w:t>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failure to satisfy the minimum funding standard under Section 412 of the Code or Section 302 of ERISA with respect to a Pension Plan, whether or not waived, or a failure to make any required contribution to a Multiemployer Plan; (d) a complete or partial withdrawal by the Borrower or any ERISA Affiliate from a Multiemployer Plan, notification of the Borrower or ERISA Affiliate concerning the imposition of Withdrawal Liability or notification that a Multiemployer Plan is insolvent within the meaning of Title IV of ERISA or in endangered status or critical status, within the meaning of Section 305 of ERISA; (e) the filing of a notice of intent to terminate, the treatment of a Pension Plan or Multiemployer Plan amendment as a termination under Section 4041 or 4041A of ERISA, or the commencement of proceedings by the PBGC to terminate a Pension Plan or Multiemployer Plan; (f) the appointment of a trustee pursuant to Section 4042 of ERISA to administer, any Pension Plan or Multiemployer Plan; (g) the imposition of any liability under Title IV of ERISA, other than for PBGC premiums due but not delinquent under Section 4007 of ERISA, upon the Borrower or any ERISA Affiliate; (h) a determination that any Pension Plan is in “at-risk” status (within the meaning of Section 303(i)(4)(A) of ERISA or Section 430(i)(4)(A) of the Code); (i) the occurrence of a non-exempt prohibited transaction with respect to any Pension Plan maintained or contributed to by the Borrower (within the meaning of Section 4975 of the Code or Section 406 of ERISA) which would result in liability to the Borrower; or (j) the occurrence of any event similar to the foregoing with respect to a Foreign Plan.</w:t>
      </w:r>
    </w:p>
    <w:p>
      <w:pPr>
        <w:pStyle w:val="TextBody"/>
        <w:bidi w:val="0"/>
        <w:spacing w:before="0" w:after="220"/>
        <w:ind w:left="0" w:right="0" w:firstLine="720"/>
        <w:jc w:val="both"/>
        <w:rPr/>
      </w:pPr>
      <w:r>
        <w:rPr>
          <w:color w:val="000000"/>
        </w:rPr>
        <w:t>“</w:t>
      </w:r>
      <w:r>
        <w:rPr>
          <w:rFonts w:ascii="Times New Roman" w:hAnsi="Times New Roman"/>
          <w:color w:val="000000"/>
          <w:sz w:val="22"/>
          <w:u w:val="single"/>
        </w:rPr>
        <w:t>Erroneous Payment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9.16(a)</w:t>
      </w:r>
      <w:r>
        <w:rPr>
          <w:rFonts w:ascii="Times New Roman" w:hAnsi="Times New Roman"/>
          <w:color w:val="000000"/>
          <w:sz w:val="22"/>
        </w:rPr>
        <w:t>.</w:t>
      </w:r>
    </w:p>
    <w:p>
      <w:pPr>
        <w:pStyle w:val="TextBody"/>
        <w:bidi w:val="0"/>
        <w:spacing w:before="0" w:after="220"/>
        <w:ind w:left="0" w:right="0" w:firstLine="720"/>
        <w:jc w:val="both"/>
        <w:rPr/>
      </w:pPr>
      <w:r>
        <w:rPr>
          <w:color w:val="000000"/>
        </w:rPr>
        <w:t>“</w:t>
      </w:r>
      <w:r>
        <w:rPr>
          <w:rFonts w:ascii="Times New Roman" w:hAnsi="Times New Roman"/>
          <w:color w:val="000000"/>
          <w:sz w:val="22"/>
          <w:u w:val="single"/>
        </w:rPr>
        <w:t>Erroneous Payment Deficiency Assignment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9.16(d)</w:t>
      </w:r>
      <w:r>
        <w:rPr>
          <w:rFonts w:ascii="Times New Roman" w:hAnsi="Times New Roman"/>
          <w:color w:val="000000"/>
          <w:sz w:val="22"/>
        </w:rPr>
        <w:t>.</w:t>
      </w:r>
    </w:p>
    <w:p>
      <w:pPr>
        <w:pStyle w:val="TextBody"/>
        <w:bidi w:val="0"/>
        <w:spacing w:before="0" w:after="220"/>
        <w:ind w:left="0" w:right="0" w:firstLine="720"/>
        <w:jc w:val="both"/>
        <w:rPr/>
      </w:pPr>
      <w:r>
        <w:rPr>
          <w:color w:val="000000"/>
        </w:rPr>
        <w:t>“</w:t>
      </w:r>
      <w:r>
        <w:rPr>
          <w:rFonts w:ascii="Times New Roman" w:hAnsi="Times New Roman"/>
          <w:color w:val="000000"/>
          <w:sz w:val="22"/>
          <w:u w:val="single"/>
        </w:rPr>
        <w:t>Erroneous Payment Impacted Class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9.16(d)</w:t>
      </w:r>
      <w:r>
        <w:rPr>
          <w:rFonts w:ascii="Times New Roman" w:hAnsi="Times New Roman"/>
          <w:color w:val="000000"/>
          <w:sz w:val="22"/>
        </w:rPr>
        <w:t>.</w:t>
      </w:r>
    </w:p>
    <w:p>
      <w:pPr>
        <w:pStyle w:val="TextBody"/>
        <w:bidi w:val="0"/>
        <w:spacing w:before="0" w:after="220"/>
        <w:ind w:left="0" w:right="0" w:firstLine="720"/>
        <w:jc w:val="both"/>
        <w:rPr/>
      </w:pPr>
      <w:r>
        <w:rPr>
          <w:color w:val="000000"/>
        </w:rPr>
        <w:t>“</w:t>
      </w:r>
      <w:r>
        <w:rPr>
          <w:rFonts w:ascii="Times New Roman" w:hAnsi="Times New Roman"/>
          <w:color w:val="000000"/>
          <w:sz w:val="22"/>
          <w:u w:val="single"/>
        </w:rPr>
        <w:t>Erroneous Payment Return Deficiency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Erroneous Payment Subrogation Rights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means the Securities Exchange Act of 1934.</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Accounts</w:t>
      </w:r>
      <w:r>
        <w:rPr>
          <w:rFonts w:ascii="Times New Roman" w:hAnsi="Times New Roman"/>
          <w:color w:val="000000"/>
          <w:sz w:val="20"/>
        </w:rPr>
        <w:t xml:space="preserve">” </w:t>
      </w:r>
      <w:r>
        <w:rPr>
          <w:rFonts w:ascii="Times New Roman" w:hAnsi="Times New Roman"/>
          <w:color w:val="000000"/>
          <w:sz w:val="22"/>
        </w:rPr>
        <w:t xml:space="preserve">means any deposit account or securities account (a) with an average balance during any consecutive 30 day period of less than $3,000,000;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such Excluded Accounts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this clause (a) shall not, during any consecutive 30 day period, have an aggregate average balance of greater than $6,000,000, (b) used solely for payroll, withholding, payroll taxes and other employee wage and benefit payments, (c) that is used solely as a trust, fiduciary, escrow or tax payment account, (d) that is a deposit account subject to a daily (on each Business Day) zero balance cash sweep into a deposit account subject to a Control Agreement, (e) maintained solely for the benefit of third parties as cash collateral to secure Indebtedness permitted by Section 7.03(m) owing to such third parties or (f) used solely for holding customer funds.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Contribution Amount</w:t>
      </w:r>
      <w:r>
        <w:rPr>
          <w:rFonts w:ascii="Times New Roman" w:hAnsi="Times New Roman"/>
          <w:color w:val="000000"/>
          <w:sz w:val="20"/>
        </w:rPr>
        <w:t xml:space="preserve">” </w:t>
      </w:r>
      <w:r>
        <w:rPr>
          <w:rFonts w:ascii="Times New Roman" w:hAnsi="Times New Roman"/>
          <w:color w:val="000000"/>
          <w:sz w:val="22"/>
        </w:rPr>
        <w:t xml:space="preserve">means the aggregate amount of Cash or Cash Equivalents (excluding any Cure Amount) received by the Borrower (other than from any of its Subsidiaries) after the Closing Date from contributions to its common equity capital or issuance of its Equity Interests,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the aggregate amount of (i) any Investments made pursuant to </w:t>
      </w:r>
      <w:r>
        <w:rPr>
          <w:rFonts w:ascii="Times New Roman" w:hAnsi="Times New Roman"/>
          <w:color w:val="000000"/>
          <w:sz w:val="22"/>
          <w:u w:val="single"/>
        </w:rPr>
        <w:t>Section 7.02(v)</w:t>
      </w:r>
      <w:r>
        <w:rPr>
          <w:rFonts w:ascii="Times New Roman" w:hAnsi="Times New Roman"/>
          <w:color w:val="000000"/>
          <w:sz w:val="20"/>
        </w:rPr>
        <w:t xml:space="preserve"> </w:t>
      </w:r>
      <w:r>
        <w:rPr>
          <w:rFonts w:ascii="Times New Roman" w:hAnsi="Times New Roman"/>
          <w:color w:val="000000"/>
          <w:sz w:val="22"/>
        </w:rPr>
        <w:t xml:space="preserve">(net of any return of capital in respect of such Investment or deemed reduction in the amount of such Investment), (ii) any Restricted Payment made pursuant to </w:t>
      </w:r>
      <w:r>
        <w:rPr>
          <w:rFonts w:ascii="Times New Roman" w:hAnsi="Times New Roman"/>
          <w:color w:val="000000"/>
          <w:sz w:val="22"/>
          <w:u w:val="single"/>
        </w:rPr>
        <w:t>Section 7.06(m)</w:t>
      </w:r>
      <w:r>
        <w:rPr>
          <w:rFonts w:ascii="Times New Roman" w:hAnsi="Times New Roman"/>
          <w:color w:val="000000"/>
          <w:sz w:val="20"/>
        </w:rPr>
        <w:t xml:space="preserve"> </w:t>
      </w:r>
      <w:r>
        <w:rPr>
          <w:rFonts w:ascii="Times New Roman" w:hAnsi="Times New Roman"/>
          <w:color w:val="000000"/>
          <w:sz w:val="22"/>
        </w:rPr>
        <w:t xml:space="preserve">and (iii) any payments made pursuant to </w:t>
      </w:r>
      <w:r>
        <w:rPr>
          <w:rFonts w:ascii="Times New Roman" w:hAnsi="Times New Roman"/>
          <w:color w:val="000000"/>
          <w:sz w:val="22"/>
          <w:u w:val="single"/>
        </w:rPr>
        <w:t>Section 7.08(a)(iii)(C)</w:t>
      </w:r>
      <w:r>
        <w:rPr>
          <w:rFonts w:ascii="Times New Roman" w:hAnsi="Times New Roman"/>
          <w:color w:val="000000"/>
          <w:sz w:val="22"/>
        </w:rPr>
        <w:t>, in each case made during the period commencing on the Closing Date through and including the date of usage of such Excluded Contribution Amount in reliance thereon (without taking account of the intended usage of the Excluded Contribution Amount as of such date), designated as an Excluded Contribution Amount pursuant to a certificate of a Responsible Officer on or promptly after the date on which the relevant capital contribution is made or the relevant proceeds are received, as the case may be, and which are excluded from the calculation of the Available Amount.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Equity</w:t>
      </w:r>
      <w:r>
        <w:rPr>
          <w:rFonts w:ascii="Times New Roman" w:hAnsi="Times New Roman"/>
          <w:color w:val="000000"/>
          <w:sz w:val="20"/>
        </w:rPr>
        <w:t xml:space="preserve">” </w:t>
      </w:r>
      <w:r>
        <w:rPr>
          <w:rFonts w:ascii="Times New Roman" w:hAnsi="Times New Roman"/>
          <w:color w:val="000000"/>
          <w:sz w:val="22"/>
        </w:rPr>
        <w:t xml:space="preserve">means Equity Interests (i) of any Unrestricted Subsidiary, (ii) of any Subsidiary acquired pursuant to a Permitted Acquisition financed with Indebtedness permitted pursuant to </w:t>
      </w:r>
      <w:r>
        <w:rPr>
          <w:rFonts w:ascii="Times New Roman" w:hAnsi="Times New Roman"/>
          <w:color w:val="000000"/>
          <w:sz w:val="22"/>
          <w:u w:val="single"/>
        </w:rPr>
        <w:t>Section 7.03(v)</w:t>
      </w:r>
      <w:r>
        <w:rPr>
          <w:rFonts w:ascii="Times New Roman" w:hAnsi="Times New Roman"/>
          <w:color w:val="000000"/>
          <w:sz w:val="20"/>
        </w:rPr>
        <w:t xml:space="preserve"> </w:t>
      </w:r>
      <w:r>
        <w:rPr>
          <w:rFonts w:ascii="Times New Roman" w:hAnsi="Times New Roman"/>
          <w:color w:val="000000"/>
          <w:sz w:val="22"/>
        </w:rPr>
        <w:t xml:space="preserve">if such Equity Interests are pledged and/or mortgaged as security for such Indebtedness and only if and for so long as the terms of such Indebtedness prohibit the creation of any other Lien on such Equity Interests (and which prohibition was not created in contemplation of such Permitted Acquisition), (iii) of any Foreign Subsidiary of the Borrower that is a CFC or any Domestic Foreign Holding Company (in each case, other than any Guarantor), in each case not otherwise constituting Excluded Equity, in excess of 65% of the issued and outstanding voting Equity Interests of each such Foreign Subsidiary or Domestic Foreign Holding Company, (iv) of any Subsidiary with respect to which the Administrative Agent and the Borrower have determined in their reasonable judgment and agreed in writing that the costs of providing a pledge of such Equity Interests or perfection thereof is excessive in view of the benefits to be obtained by the Secured Parties therefrom, (v) of any captive insurance companies, not-for-profit Subsidiaries or special purpose entities, (vi) of any non-Wholly Owned Restricted Subsidiary; </w:t>
      </w:r>
      <w:r>
        <w:rPr>
          <w:rFonts w:ascii="Times New Roman" w:hAnsi="Times New Roman"/>
          <w:color w:val="000000"/>
          <w:sz w:val="22"/>
          <w:u w:val="single"/>
        </w:rPr>
        <w:t>provided</w:t>
      </w:r>
      <w:r>
        <w:rPr>
          <w:rFonts w:ascii="Times New Roman" w:hAnsi="Times New Roman"/>
          <w:color w:val="000000"/>
          <w:sz w:val="22"/>
        </w:rPr>
        <w:t xml:space="preserve">, that no Equity Interests of a Person that is a Wholly-Owned Subsidiary on or after the Closing Date shall thereafter become Excluded Equity as a result of a transaction resulting in such Person becoming a non-Wholly Owned Subsidiary unless such Equity Interests constitute Excluded Equity pursuant to any of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(vii)</w:t>
      </w:r>
      <w:r>
        <w:rPr>
          <w:rFonts w:ascii="Times New Roman" w:hAnsi="Times New Roman"/>
          <w:color w:val="000000"/>
          <w:sz w:val="20"/>
        </w:rPr>
        <w:t xml:space="preserve"> </w:t>
      </w:r>
      <w:r>
        <w:rPr>
          <w:rFonts w:ascii="Times New Roman" w:hAnsi="Times New Roman"/>
          <w:color w:val="000000"/>
          <w:sz w:val="22"/>
        </w:rPr>
        <w:t xml:space="preserve">of this definition; and (vii) of any Subsidiary outside the United States (other than any Guarantor) the pledge of which is prohibited by applicable Laws or which would reasonably be expected to result in a violation or breach of, or conflict with, fiduciary duties of such Subsidiary’s officers, directors or managers. Notwithstanding anything herein to the contrary, Equity Interests of any Subsidiary that owns or exclusively licenses Material Intellectual Property (other than as a result of an exclusive license not prohibited by </w:t>
      </w:r>
      <w:r>
        <w:rPr>
          <w:rFonts w:ascii="Times New Roman" w:hAnsi="Times New Roman"/>
          <w:color w:val="000000"/>
          <w:sz w:val="22"/>
          <w:u w:val="single"/>
        </w:rPr>
        <w:t>Article VII</w:t>
      </w:r>
      <w:r>
        <w:rPr>
          <w:rFonts w:ascii="Times New Roman" w:hAnsi="Times New Roman"/>
          <w:color w:val="000000"/>
          <w:sz w:val="22"/>
        </w:rPr>
        <w:t xml:space="preserve">) shall not constitute Excluded Equity;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Equity Interests may constitute Excluded Equity if a material adverse tax consequence to the Borrower or its Subsidiaries could reasonably be expected to result from (x) transferring such Material Intellectual Property to a Loan Party or (y) causing the Subsidiary owning or licensing such Material Intellectual Property to become a Loan Party, in each case as reasonably determined by the Borrower in writing (in consultation with (but without the consent of) the Administrative Agent); </w:t>
      </w:r>
      <w:r>
        <w:rPr>
          <w:rFonts w:ascii="Times New Roman" w:hAnsi="Times New Roman"/>
          <w:color w:val="000000"/>
          <w:sz w:val="22"/>
          <w:u w:val="single"/>
        </w:rPr>
        <w:t>provided further</w:t>
      </w:r>
      <w:r>
        <w:rPr>
          <w:rFonts w:ascii="Times New Roman" w:hAnsi="Times New Roman"/>
          <w:color w:val="000000"/>
          <w:sz w:val="20"/>
        </w:rPr>
        <w:t xml:space="preserve"> </w:t>
      </w:r>
      <w:r>
        <w:rPr>
          <w:rFonts w:ascii="Times New Roman" w:hAnsi="Times New Roman"/>
          <w:color w:val="000000"/>
          <w:sz w:val="22"/>
        </w:rPr>
        <w:t>that, in the event that, pursuant to the immediately foregoing proviso, such Equity Interests would constitute Excluded Equity due to material adverse tax consequences to the Borrower or its Subsidiaries, such Subsidiary which owns such Material Intellectual Property shall grant to the Borrower an irrevocable royalty free license covering such Material Intellectual Property unless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granting of such license could reasonably be expected to result in material adverse tax consequences to the Borrower or its Subsidiaries.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Property</w:t>
      </w:r>
      <w:r>
        <w:rPr>
          <w:rFonts w:ascii="Times New Roman" w:hAnsi="Times New Roman"/>
          <w:color w:val="000000"/>
          <w:sz w:val="20"/>
        </w:rPr>
        <w:t xml:space="preserve">” </w:t>
      </w:r>
      <w:r>
        <w:rPr>
          <w:rFonts w:ascii="Times New Roman" w:hAnsi="Times New Roman"/>
          <w:color w:val="000000"/>
          <w:sz w:val="22"/>
        </w:rPr>
        <w:t xml:space="preserve">means (i) any fee-owned real property that is not a Material Real Property and any leasehold interests in real property (it being understood that no action shall be required with respect to creation or perfection of security interests with respect to such leases, including to obtain landlord waivers, estoppels or collateral access letters), (ii) (A) motor vehicles and other assets subject to certificates of title, to the extent a Lien thereon cannot be perfected by the filing of a UCC financing statement (or analogous procedures under applicable Laws of any jurisdiction of a Restricted Subsidiary that becomes a Guarantor pursuant to the last sentence of the definition of “Guarantor”), (B) letter of credit rights to the extent a Lien thereon cannot be perfected by the filing of a UCC financing statement (or analogous procedures under applicable Laws of any jurisdiction of a Restricted Subsidiary that becomes a Guarantor pursuant to the last sentence of the definition of “Guarantor”) and (C) commercial tort claims not in excess of $5,000,000 in the aggregate, (iii) assets for which a pledge thereof or a security interest therein is, and only for so long as they are, prohibited by applicable Laws after giving effect to the applicable anti-assignment provisions of the UCC or other applicable Laws, other than proceeds and receivables thereof, the assignment of which is expressly deemed effective under applicable law notwithstanding such prohibition, (iv) margin stock, (v) [reserved], (vi) any lease, license or other agreements, or any property subject to a purchase money security interest, Capitalized Lease Obligation or similar arrangements, in each case to the extent permitted under the Loan Documents, to the extent that a pledge thereof or a security interest therein would, and only for so long as they would, violate or invalidate such lease, license or agreement, purchase money, Capitalized Lease or similar arrangement, or create a right of termination in favor of any other party thereto (other than the Borrower or a Guarantor) after giving effect to the applicable anti-assignment clauses of the Uniform Commercial Code and applicable Laws, other than the proceeds and receivables thereof the assignment of which is expressly deemed effective under applicable Laws notwithstanding such prohibition, (vii) assets for which a pledge thereof or security interest therein would result in a material adverse tax consequence as reasonably determined by the Borrower in writing (in consultation with (but without the consent of)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clause (vii) shall limit the pledge of assets by any Foreign Subsidiary that is a Guarantor without the Administrative Agent’s consent, (viii) assets for which the Administrative Agent and the Borrower have determined in their reasonable judgment and agree in writing that the cost of creating or perfecting such pledges or security interests therein would be excessive in view of the benefits to be obtained by the Lenders therefrom, (ix) any intent-to-use trademark application in the United States prior to the filing of a “Statement of Use” or “Amendment to Allege Use” with respect thereto, to the extent, if any, that, and solely during the period, if any, in which, the grant, attachment, or enforcement of a security interest therein would impair the validity or enforceability of such intent-to-use trademark application under applicable Federal law, (x) Excluded Equity and (xi) any asset of any Subsidiary of the Borrower (other than a Guarantor) that is a CFC or Domestic Foreign Holding Company. Notwithstanding anything to the contrary contained herein, Material Intellectual Property shall not constitute Excluded Property;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foregoing shall not apply to (x) any intent-to-use trademark application in the United States prior to the filing of a “Statement of Use” or “Amendment to Allege Use” with respect thereto, to the extent, if any, that, and solely during the period, if any, in which, the grant, attachment, or enforcement of a security interest therein would impair the validity or enforceability of such intent-to-use trademark application under applicable Federal law, (y) Material Intellectual Property owned by non-Loan Parties if a material adverse tax consequence to the Borrower or its Subsidiaries could reasonably be expected to result from (I) transferring such Material Intellectual Property to a Loan Party or (II) causing the Subsidiary owning such Material Intellectual Property to become a Loan Party, in the case of this clause (y) as reasonably determined by the Borrower in writing (in consultation with (but without the consent of) the Administrative Agent); </w:t>
      </w:r>
      <w:r>
        <w:rPr>
          <w:rFonts w:ascii="Times New Roman" w:hAnsi="Times New Roman"/>
          <w:color w:val="000000"/>
          <w:sz w:val="22"/>
          <w:u w:val="single"/>
        </w:rPr>
        <w:t>provided further</w:t>
      </w:r>
      <w:r>
        <w:rPr>
          <w:rFonts w:ascii="Times New Roman" w:hAnsi="Times New Roman"/>
          <w:color w:val="000000"/>
          <w:sz w:val="20"/>
        </w:rPr>
        <w:t xml:space="preserve"> </w:t>
      </w:r>
      <w:r>
        <w:rPr>
          <w:rFonts w:ascii="Times New Roman" w:hAnsi="Times New Roman"/>
          <w:color w:val="000000"/>
          <w:sz w:val="22"/>
        </w:rPr>
        <w:t>that, in the event that, pursuant to the immediately foregoing clause (y), such Material Intellectual Property would constitute Excluded Property due to material adverse tax consequences to the Borrower or its Subsidiaries, such Subsidiary which owns such Material Intellectual Property shall</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grant to the Borrower an irrevocable royalty free license covering such Material Intellectual Property unless the granting of such license could reasonably be expected to result in material adverse tax consequences to the Borrower or its Subsidiaries.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 xml:space="preserve">means (a) each Subsidiary listed on </w:t>
      </w:r>
      <w:r>
        <w:rPr>
          <w:rFonts w:ascii="Times New Roman" w:hAnsi="Times New Roman"/>
          <w:color w:val="000000"/>
          <w:sz w:val="22"/>
          <w:u w:val="single"/>
        </w:rPr>
        <w:t>Schedule 1.01C</w:t>
      </w:r>
      <w:r>
        <w:rPr>
          <w:rFonts w:ascii="Times New Roman" w:hAnsi="Times New Roman"/>
          <w:color w:val="000000"/>
          <w:sz w:val="20"/>
        </w:rPr>
        <w:t xml:space="preserve"> </w:t>
      </w:r>
      <w:r>
        <w:rPr>
          <w:rFonts w:ascii="Times New Roman" w:hAnsi="Times New Roman"/>
          <w:color w:val="000000"/>
          <w:sz w:val="22"/>
        </w:rPr>
        <w:t>hereto, (b) any Subsidiary that is, and only for so long as, prohibited by applicable Law or by any contractual obligation existing on the Closing Date (or, if later, the date such Subsidiary first becomes a Subsidiary) from guaranteeing the Obligations (and in the case of such contractual obligation, not entered into in contemplation of the acquisition of such Subsidiary) or which would require governmental (including regulatory) consent, approval, license or authorization to provide a Guarantee unless such consent, approval, license or authorization has been received, (c) any Restricted Subsidiary acquired pursuant to a Permitted Acquisition or other similar Investment permitted hereunder that, at the time of such Permitted Acquisition or other similar Investment, has assumed secured Indebtedness not incurred in contemplation of such Permitted Acquisition or other similar Investment and each Restricted Subsidiary that is a Subsidiary thereof that guarantees such Indebtedness, in each case, to the extent such secured Indebtedness prohibits such Subsidiary from becoming a Guarantor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such Restricted Subsidiary shall cease to be an Excluded Subsidiary under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if such secured Indebtedness is repaid or becomes unsecured, if such Restricted Subsidiary ceases to be an obligor with respect to such secured Indebtedness or such prohibition no longer exists, as applicable), (d) any Immaterial Subsidiary or Unrestricted Subsidiary, (e) captive insurance companies, (f) not-for-profit Subsidiaries, (g) special purpose entities, (h) any non-Wholly Owned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Person that is a Wholly-Owned Subsidiary on or after the Closing Date shall thereafter become an Excluded Subsidiary as a result of a transaction resulting in such Person becoming a non-Wholly Owned Subsidiary unless such Person constitutes an Excluded Subsidiary pursuant to any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(with respect to Unrestricted Subsidiaries only),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(l)</w:t>
      </w:r>
      <w:r>
        <w:rPr>
          <w:rFonts w:ascii="Times New Roman" w:hAnsi="Times New Roman"/>
          <w:color w:val="000000"/>
          <w:sz w:val="20"/>
        </w:rPr>
        <w:t xml:space="preserve"> </w:t>
      </w:r>
      <w:r>
        <w:rPr>
          <w:rFonts w:ascii="Times New Roman" w:hAnsi="Times New Roman"/>
          <w:color w:val="000000"/>
          <w:sz w:val="22"/>
        </w:rPr>
        <w:t xml:space="preserve">of this definition, (i) any Domestic Foreign Holding Company, (j) any Foreign Subsidiary of the Borrower that is a CFC, (k) any Domestic Subsidiary that is a direct or indirect Subsidiary of a Foreign Subsidiary described in </w:t>
      </w:r>
      <w:r>
        <w:rPr>
          <w:rFonts w:ascii="Times New Roman" w:hAnsi="Times New Roman"/>
          <w:color w:val="000000"/>
          <w:sz w:val="22"/>
          <w:u w:val="single"/>
        </w:rPr>
        <w:t>clause (j)</w:t>
      </w:r>
      <w:r>
        <w:rPr>
          <w:rFonts w:ascii="Times New Roman" w:hAnsi="Times New Roman"/>
          <w:color w:val="000000"/>
          <w:sz w:val="20"/>
        </w:rPr>
        <w:t xml:space="preserve"> </w:t>
      </w:r>
      <w:r>
        <w:rPr>
          <w:rFonts w:ascii="Times New Roman" w:hAnsi="Times New Roman"/>
          <w:color w:val="000000"/>
          <w:sz w:val="22"/>
        </w:rPr>
        <w:t xml:space="preserve">and (l) any other Subsidiary with respect to which the Administrative Agent and the Borrower have determined in their reasonable judgment, and agree in writing, that the cost or other consequences (including any material adverse tax consequences;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material adverse tax consequences the determination shall be made by the Borrower in consultation with (but without the consent of) the Administrative Agent) of providing a Guarantee shall be excessive in view of the benefits to be obtained by the Lenders therefrom; in each case of this definition, unless such Subsidiary is designated by the Borrower as a Guarantor pursuant to the definition of “Guarantors”;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in no event shall any Excluded Subsidiary hold legal title to or exclusively license (other than as a result of an exclusive license not prohibited by </w:t>
      </w:r>
      <w:r>
        <w:rPr>
          <w:rFonts w:ascii="Times New Roman" w:hAnsi="Times New Roman"/>
          <w:color w:val="000000"/>
          <w:sz w:val="22"/>
          <w:u w:val="single"/>
        </w:rPr>
        <w:t>Article VII</w:t>
      </w:r>
      <w:r>
        <w:rPr>
          <w:rFonts w:ascii="Times New Roman" w:hAnsi="Times New Roman"/>
          <w:color w:val="000000"/>
          <w:sz w:val="22"/>
        </w:rPr>
        <w:t xml:space="preserve">) any Material Intellectual Property or any Equity Interests of any Subsidiary of the Borrower that holds legal title to or exclusively licenses (other than as a result of an exclusive license not prohibited by </w:t>
      </w:r>
      <w:r>
        <w:rPr>
          <w:rFonts w:ascii="Times New Roman" w:hAnsi="Times New Roman"/>
          <w:color w:val="000000"/>
          <w:sz w:val="22"/>
          <w:u w:val="single"/>
        </w:rPr>
        <w:t>Article VII</w:t>
      </w:r>
      <w:r>
        <w:rPr>
          <w:rFonts w:ascii="Times New Roman" w:hAnsi="Times New Roman"/>
          <w:color w:val="000000"/>
          <w:sz w:val="22"/>
        </w:rPr>
        <w:t xml:space="preserve">) any Material Intellectual Property;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foregoing proviso shall not apply to any Excluded Subsidiary if a material adverse tax consequence to the Borrower or its Subsidiaries could reasonably be expected to result from (x) transferring the Material Intellectual Property owned by such Subsidiary to a Loan Party or (y) causing such Subsidiary to become a Loan Party, in each case as reasonably determined by the Borrower in writing (in consultation with (but without the consent of) the Administrative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that, in the event that, pursuant to the immediately foregoing proviso, such Subsidiary would constitute an Excluded Subsidiary due to material adverse tax consequences to the Borrower or its Subsidiaries, such Subsidiary which owns such Material Intellectual Property shall grant to the Borrower an irrevocable royalty free license covering such Material Intellectual Property unless the granting of such license could reasonably be expected to result in material adverse tax consequences to the Borrower or its Subsidiaries.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means, with respect to any Guarantor, any Swap Obligation if, and to the extent that, all or a portion of the Guarantee of such Guarantor of, or the grant by such Guarantor of a</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would otherwise have become effective with respect to such related Swap Obligation but for such Guarantor’s failure to constitute an “eligible contract participant” at such time. If a Swap Obligation arises under a Master Agreement governing more than one Swap Contract, such exclusion shall apply only to the portion of such Swap Obligation that is attributable to Swap Contracts for which such Guarantee or security interest is or becomes excluded in accordance with the first sentence of this definition.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by any jurisdiction (or political subdivision thereof) as a result of a present or former connection of such Recipient with such jurisdiction (including as a result of being resident, being organized, maintaining an Applicable Lending Office or carrying on business in such jurisdiction) other than any connection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in the case of a Lender, any U.S. federal withholding Taxes imposed on amounts payable to any Lender pursuant to a law in effect at the time such Lender becomes a party to this Agreement or acquires an interest in the Loans or Commitments (other than pursuant to an assignment request by the Borrower under </w:t>
      </w:r>
      <w:r>
        <w:rPr>
          <w:rFonts w:ascii="Times New Roman" w:hAnsi="Times New Roman"/>
          <w:color w:val="000000"/>
          <w:sz w:val="22"/>
          <w:u w:val="single"/>
        </w:rPr>
        <w:t>Section 3.06</w:t>
      </w:r>
      <w:r>
        <w:rPr>
          <w:rFonts w:ascii="Times New Roman" w:hAnsi="Times New Roman"/>
          <w:color w:val="000000"/>
          <w:sz w:val="22"/>
        </w:rPr>
        <w:t xml:space="preserve">) or designates a new Applicable Lending Office, except to the extent such Lender’s assignor was entitled immediately prior to the assignment, or such Lender was entitled immediately before it designated a new Applicable Lending Office, to receive additional amounts from any Loan Party with respect to such Taxes pursuant to </w:t>
      </w:r>
      <w:r>
        <w:rPr>
          <w:rFonts w:ascii="Times New Roman" w:hAnsi="Times New Roman"/>
          <w:color w:val="000000"/>
          <w:sz w:val="22"/>
          <w:u w:val="single"/>
        </w:rPr>
        <w:t>Section 3.01</w:t>
      </w:r>
      <w:r>
        <w:rPr>
          <w:rFonts w:ascii="Times New Roman" w:hAnsi="Times New Roman"/>
          <w:color w:val="000000"/>
          <w:sz w:val="22"/>
        </w:rPr>
        <w:t xml:space="preserve">, (c) any Tax resulting from a failure of such Recipient to comply with </w:t>
      </w:r>
      <w:r>
        <w:rPr>
          <w:rFonts w:ascii="Times New Roman" w:hAnsi="Times New Roman"/>
          <w:color w:val="000000"/>
          <w:sz w:val="22"/>
          <w:u w:val="single"/>
        </w:rPr>
        <w:t>Section 3.01(f)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3.01(g)</w:t>
      </w:r>
      <w:r>
        <w:rPr>
          <w:rFonts w:ascii="Times New Roman" w:hAnsi="Times New Roman"/>
          <w:color w:val="000000"/>
          <w:sz w:val="20"/>
        </w:rPr>
        <w:t xml:space="preserve"> </w:t>
      </w:r>
      <w:r>
        <w:rPr>
          <w:rFonts w:ascii="Times New Roman" w:hAnsi="Times New Roman"/>
          <w:color w:val="000000"/>
          <w:sz w:val="22"/>
        </w:rPr>
        <w:t>and (d) any Tax imposed pursuant to FATCA.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means the Credit Agreement, dated as of February 1, 2022 among the Borrower, the guarantors party thereto and JPMorgan Chase Bank, N.A., and the other parties party thereto as amended, restated, amended and restated, supplemented or otherwise modified prior to the date 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Extended Revolving Credit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Extended Term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Extending Revolving Credit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Extension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Extension Offer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Facility</w:t>
      </w:r>
      <w:r>
        <w:rPr>
          <w:rFonts w:ascii="Times New Roman" w:hAnsi="Times New Roman"/>
          <w:color w:val="000000"/>
          <w:sz w:val="20"/>
        </w:rPr>
        <w:t xml:space="preserve">” </w:t>
      </w:r>
      <w:r>
        <w:rPr>
          <w:rFonts w:ascii="Times New Roman" w:hAnsi="Times New Roman"/>
          <w:color w:val="000000"/>
          <w:sz w:val="22"/>
        </w:rPr>
        <w:t>means a Class of Term Loans or the Revolving Credit Facility, as the context may require.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means current Sections 1471 through 1474 of the Code (and any amended or successor version that is substantively comparable and not materially more onerous to comply with) or any current or future Treasury regulations or official interpretations thereof, any agreements entered into pursuant to Section 1471(b)(1) of the Code and any fiscal or regulatory legislation, rules or practices adopted pursuant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any intergovernmental agreement, treaty or convention among Governmental Authorities and implementing such Sections of the Code.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FCPA</w:t>
      </w:r>
      <w:r>
        <w:rPr>
          <w:rFonts w:ascii="Times New Roman" w:hAnsi="Times New Roman"/>
          <w:color w:val="000000"/>
          <w:sz w:val="20"/>
        </w:rPr>
        <w:t xml:space="preserve">” </w:t>
      </w:r>
      <w:r>
        <w:rPr>
          <w:rFonts w:ascii="Times New Roman" w:hAnsi="Times New Roman"/>
          <w:color w:val="000000"/>
          <w:sz w:val="22"/>
        </w:rPr>
        <w:t>means the United States Foreign Corrupt Practices Act of 1977, as amended.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Federal Funds Rate</w:t>
      </w:r>
      <w:r>
        <w:rPr>
          <w:rFonts w:ascii="Times New Roman" w:hAnsi="Times New Roman"/>
          <w:color w:val="000000"/>
          <w:sz w:val="20"/>
        </w:rPr>
        <w:t xml:space="preserve">” </w:t>
      </w:r>
      <w:r>
        <w:rPr>
          <w:rFonts w:ascii="Times New Roman" w:hAnsi="Times New Roman"/>
          <w:color w:val="000000"/>
          <w:sz w:val="22"/>
        </w:rPr>
        <w:t>means, for any period, a fluctuating interest rate per annum equal to, for each day during such period, the weighted average of the rates on overnight Federal funds transactions with members of the Federal Reserve System, as published on the next succeeding Business Day by the NYFRB,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pStyle w:val="TextBody"/>
        <w:bidi w:val="0"/>
        <w:spacing w:before="0" w:after="220"/>
        <w:ind w:left="0" w:right="0" w:firstLine="720"/>
        <w:jc w:val="both"/>
        <w:rPr/>
      </w:pPr>
      <w:r>
        <w:rPr>
          <w:color w:val="000000"/>
        </w:rPr>
        <w:t>“</w:t>
      </w:r>
      <w:r>
        <w:rPr>
          <w:rFonts w:ascii="Times New Roman" w:hAnsi="Times New Roman"/>
          <w:color w:val="000000"/>
          <w:sz w:val="22"/>
          <w:u w:val="single"/>
        </w:rPr>
        <w:t>Federal Reserve Board</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of America.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Fee Letter</w:t>
      </w:r>
      <w:r>
        <w:rPr>
          <w:rFonts w:ascii="Times New Roman" w:hAnsi="Times New Roman"/>
          <w:color w:val="000000"/>
          <w:sz w:val="20"/>
        </w:rPr>
        <w:t xml:space="preserve">” </w:t>
      </w:r>
      <w:r>
        <w:rPr>
          <w:rFonts w:ascii="Times New Roman" w:hAnsi="Times New Roman"/>
          <w:color w:val="000000"/>
          <w:sz w:val="22"/>
        </w:rPr>
        <w:t>means the Fee Letter dated as of January 14, 2026, by and among the Borrower and the Administrative Agent, as amended, restated, amended and restated, supplemented or otherwise modified from time to time.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First Amendment Effective Date</w:t>
      </w:r>
      <w:r>
        <w:rPr>
          <w:rFonts w:ascii="Times New Roman" w:hAnsi="Times New Roman"/>
          <w:color w:val="000000"/>
          <w:sz w:val="20"/>
        </w:rPr>
        <w:t xml:space="preserve">” </w:t>
      </w:r>
      <w:r>
        <w:rPr>
          <w:rFonts w:ascii="Times New Roman" w:hAnsi="Times New Roman"/>
          <w:color w:val="000000"/>
          <w:sz w:val="22"/>
        </w:rPr>
        <w:t>means October 1, 2024.</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First Lien Net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the result of (i) Consolidated Total Debt secured on a first lien basis (including Consolidated Total Debt secured by a Lien on the Collateral that ranks pari passu with the Liens on the Collateral securing the Obligations) as of such date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(ii) the lesser of (A) the aggregate amount of unrestricted cash and Cash Equivalents of the Borrower and its Restricted Subsidiaries (in each case, free and clear of all Liens other than any nonconsensual Lien that are permitted under the Loan Documents, Liens of the Collateral Agent and Liens that are subordinated to the Liens of the Collateral Agent pursuant to an Acceptable Intercreditor Agreement) included in the consolidated balance sheet of the Borrower and its Restricted Subsidiaries as of such date and (B) 100% of Consolidated EBITDA for the most recently ended Test Period; to (b) Consolidated EBITDA of the Borrower and its Restricted Subsidiaries for the most recently ended Test Period, on a Pro Forma Basis.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Fixed Amounts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1.09(b)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Flood Insurance Laws</w:t>
      </w:r>
      <w:r>
        <w:rPr>
          <w:rFonts w:ascii="Times New Roman" w:hAnsi="Times New Roman"/>
          <w:color w:val="000000"/>
          <w:sz w:val="20"/>
        </w:rPr>
        <w:t xml:space="preserve">” </w:t>
      </w:r>
      <w:r>
        <w:rPr>
          <w:rFonts w:ascii="Times New Roman" w:hAnsi="Times New Roman"/>
          <w:color w:val="000000"/>
          <w:sz w:val="22"/>
        </w:rPr>
        <w:t>means, collectively, (i)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Flood Zone Property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6.06</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Floor</w:t>
      </w:r>
      <w:r>
        <w:rPr>
          <w:rFonts w:ascii="Times New Roman" w:hAnsi="Times New Roman"/>
          <w:color w:val="000000"/>
          <w:sz w:val="20"/>
        </w:rPr>
        <w:t xml:space="preserve">” </w:t>
      </w:r>
      <w:r>
        <w:rPr>
          <w:rFonts w:ascii="Times New Roman" w:hAnsi="Times New Roman"/>
          <w:color w:val="000000"/>
          <w:sz w:val="22"/>
        </w:rPr>
        <w:t>means the benchmark rate floor, if any, provided in this Agreement initially (as of the execution of this Agreement, the modification, amendment or renewal of this Agreement or otherwise) with respect to the Adjusted Term SOFR Rate. For the avoidance of doubt the initial Floor for the Adjusted Term SOFR Rate shall be 0.00%.</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Foreign Plan</w:t>
      </w:r>
      <w:r>
        <w:rPr>
          <w:rFonts w:ascii="Times New Roman" w:hAnsi="Times New Roman"/>
          <w:color w:val="000000"/>
          <w:sz w:val="20"/>
        </w:rPr>
        <w:t xml:space="preserve">” </w:t>
      </w:r>
      <w:r>
        <w:rPr>
          <w:rFonts w:ascii="Times New Roman" w:hAnsi="Times New Roman"/>
          <w:color w:val="000000"/>
          <w:sz w:val="22"/>
        </w:rPr>
        <w:t>means any employee benefit plan, program, policy, arrangement or agreement maintained or contributed to or by, or entered into with, the Borrower or any Restricted Subsidiary with respect to employees outside the United States.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means any direct or indirect Subsidiary of the Borrower, which is not a Domestic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FRB</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Fronting Fee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2.03(h)</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Fund</w:t>
      </w:r>
      <w:r>
        <w:rPr>
          <w:rFonts w:ascii="Times New Roman" w:hAnsi="Times New Roman"/>
          <w:color w:val="000000"/>
          <w:sz w:val="20"/>
        </w:rPr>
        <w:t xml:space="preserve">” </w:t>
      </w:r>
      <w:r>
        <w:rPr>
          <w:rFonts w:ascii="Times New Roman" w:hAnsi="Times New Roman"/>
          <w:color w:val="000000"/>
          <w:sz w:val="22"/>
        </w:rPr>
        <w:t>means any Person (other than a natural person) that is engaged in making, purchasing, holding or otherwise investing in commercial loans and similar extensions of credit in the ordinary course of its activities.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Funded Debt</w:t>
      </w:r>
      <w:r>
        <w:rPr>
          <w:rFonts w:ascii="Times New Roman" w:hAnsi="Times New Roman"/>
          <w:color w:val="000000"/>
          <w:sz w:val="20"/>
        </w:rPr>
        <w:t xml:space="preserve">” </w:t>
      </w:r>
      <w:r>
        <w:rPr>
          <w:rFonts w:ascii="Times New Roman" w:hAnsi="Times New Roman"/>
          <w:color w:val="000000"/>
          <w:sz w:val="22"/>
        </w:rPr>
        <w:t>means all Indebtedness of the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 xml:space="preserve">means generally accepted accounting principles in the United States, as in effect from time to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at any time after the Closing Date, the Borrower may elect, upon notice to the Administrative Agent, to apply IFRS accounting principles in lieu of GAAP and, upon any such election, references herein to GAAP shall thereafter be construed to mean IFRS (except as otherwise provided herein), including as to the ability of the Borrower or the Required Lenders to make an election pursuant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proviso, (C) any election made pursuant to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this proviso, once made, shall be irrevocable, (D) any calculation or determination in this Agreement that requires the application of GAAP for periods that include fiscal quarters ended prior to the Borrower’s election to apply IFRS shall remain as previously calculated or determined in accordance with GAAP and (E) the Borrower may only make an election pursuant to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this proviso if it also elects to report any subsequent financial reports required to be made by the Borrower, including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in IFRS.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means any nation or government, any state, provincial, country, territorial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supra-national bodies such as the European Union or the European Central Bank) and any self-regulatory organization.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Granting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10.07(h)</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Guarantee Obligations</w:t>
      </w:r>
      <w:r>
        <w:rPr>
          <w:rFonts w:ascii="Times New Roman" w:hAnsi="Times New Roman"/>
          <w:color w:val="000000"/>
          <w:sz w:val="20"/>
        </w:rPr>
        <w:t xml:space="preserve">” </w:t>
      </w:r>
      <w:r>
        <w:rPr>
          <w:rFonts w:ascii="Times New Roman" w:hAnsi="Times New Roman"/>
          <w:color w:val="000000"/>
          <w:sz w:val="22"/>
        </w:rPr>
        <w:t>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hAnsi="Times New Roman"/>
          <w:color w:val="000000"/>
          <w:sz w:val="22"/>
          <w:u w:val="single"/>
        </w:rPr>
        <w:t>primary obligor</w:t>
      </w:r>
      <w:r>
        <w:rPr>
          <w:rFonts w:ascii="Times New Roman" w:hAnsi="Times New Roman"/>
          <w:color w:val="000000"/>
          <w:sz w:val="20"/>
        </w:rPr>
        <w:t>”</w:t>
      </w:r>
      <w:r>
        <w:rPr>
          <w:rFonts w:ascii="Times New Roman" w:hAnsi="Times New Roman"/>
          <w:color w:val="000000"/>
          <w:sz w:val="22"/>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term “Guarantee Obligations”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related primary obligation, or portion thereof, in respect of which such Guarantee Obligation is made or, if not stated or determinable, the maximum reasonably anticipated liability in respect thereof as determined by the guaranteeing Person in good faith.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Guarantees</w:t>
      </w:r>
      <w:r>
        <w:rPr>
          <w:rFonts w:ascii="Times New Roman" w:hAnsi="Times New Roman"/>
          <w:color w:val="000000"/>
          <w:sz w:val="20"/>
        </w:rPr>
        <w:t xml:space="preserve">” </w:t>
      </w:r>
      <w:r>
        <w:rPr>
          <w:rFonts w:ascii="Times New Roman" w:hAnsi="Times New Roman"/>
          <w:color w:val="000000"/>
          <w:sz w:val="22"/>
        </w:rPr>
        <w:t>has the meaning specified in the definition of “Collateral and Guarantee Requirement.”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Guarantors</w:t>
      </w:r>
      <w:r>
        <w:rPr>
          <w:rFonts w:ascii="Times New Roman" w:hAnsi="Times New Roman"/>
          <w:color w:val="000000"/>
          <w:sz w:val="20"/>
        </w:rPr>
        <w:t xml:space="preserve">” </w:t>
      </w:r>
      <w:r>
        <w:rPr>
          <w:rFonts w:ascii="Times New Roman" w:hAnsi="Times New Roman"/>
          <w:color w:val="000000"/>
          <w:sz w:val="22"/>
        </w:rPr>
        <w:t xml:space="preserve">has the meaning specified in the definition of “Collateral and Guarantee Requirement.” For avoidance of doubt, the Borrower in its sole discretion may cause any Restricted Subsidiary that is not a Guarantor to Guarantee the Obligations by causing such Restricted Subsidiary to execute and deliver to the Administrative Agent a Guaranty Supplement (as defined in the Guaranty), and any such Restricted Subsidiary shall thereafter be a Guarantor and Loan Party hereunder for all purposes;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such Restricted Subsidiary is not organized in the United States, (i) the jurisdiction of organization of such Restricted Subsidiary shall be reasonably satisfactory to the Collateral Agent if acting as Collateral Agent or entering into Loan Documents with Subsidiaries in such jurisdiction is prohibited or materially restricted by applicable Law or would expose the Collateral Agent, in its capacity as such, to material additional liabilities and (ii) such Restricted Subsidiary shall have complied with the Collateral and Guarantee Requirement prior to the becoming a Guarantor.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Guaranty</w:t>
      </w:r>
      <w:r>
        <w:rPr>
          <w:rFonts w:ascii="Times New Roman" w:hAnsi="Times New Roman"/>
          <w:color w:val="000000"/>
          <w:sz w:val="20"/>
        </w:rPr>
        <w:t xml:space="preserve">” </w:t>
      </w:r>
      <w:r>
        <w:rPr>
          <w:rFonts w:ascii="Times New Roman" w:hAnsi="Times New Roman"/>
          <w:color w:val="000000"/>
          <w:sz w:val="22"/>
        </w:rPr>
        <w:t xml:space="preserve">means, collectively, (a) the Guaranty substantially in the form of </w:t>
      </w:r>
      <w:r>
        <w:rPr>
          <w:rFonts w:ascii="Times New Roman" w:hAnsi="Times New Roman"/>
          <w:color w:val="000000"/>
          <w:sz w:val="22"/>
          <w:u w:val="single"/>
        </w:rPr>
        <w:t>Exhibit F</w:t>
      </w:r>
      <w:r>
        <w:rPr>
          <w:rFonts w:ascii="Times New Roman" w:hAnsi="Times New Roman"/>
          <w:color w:val="000000"/>
          <w:sz w:val="20"/>
        </w:rPr>
        <w:t xml:space="preserve"> </w:t>
      </w:r>
      <w:r>
        <w:rPr>
          <w:rFonts w:ascii="Times New Roman" w:hAnsi="Times New Roman"/>
          <w:color w:val="000000"/>
          <w:sz w:val="22"/>
        </w:rPr>
        <w:t xml:space="preserve">and (b) each other guaranty and guaranty supplement delivered pursuant to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Hazardous Materials</w:t>
      </w:r>
      <w:r>
        <w:rPr>
          <w:rFonts w:ascii="Times New Roman" w:hAnsi="Times New Roman"/>
          <w:color w:val="000000"/>
          <w:sz w:val="20"/>
        </w:rPr>
        <w:t xml:space="preserve">” </w:t>
      </w:r>
      <w:r>
        <w:rPr>
          <w:rFonts w:ascii="Times New Roman" w:hAnsi="Times New Roman"/>
          <w:color w:val="000000"/>
          <w:sz w:val="22"/>
        </w:rPr>
        <w:t>means all hazardous, toxic, explosive or radioactive substances or wastes, and all other chemicals, pollutants, contaminants, substances or wastes of any nature regulated pursuant to any Law relating to the Environment because of their hazardous, toxic, dangerous or deleterious characteristics or properties, including petroleum or petroleum distillates, asbestos or asbestos-containing materials, polychlorinated biphenyls, radon gas and toxic mold.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Hedge Bank</w:t>
      </w:r>
      <w:r>
        <w:rPr>
          <w:rFonts w:ascii="Times New Roman" w:hAnsi="Times New Roman"/>
          <w:color w:val="000000"/>
          <w:sz w:val="20"/>
        </w:rPr>
        <w:t xml:space="preserve">” </w:t>
      </w:r>
      <w:r>
        <w:rPr>
          <w:rFonts w:ascii="Times New Roman" w:hAnsi="Times New Roman"/>
          <w:color w:val="000000"/>
          <w:sz w:val="22"/>
        </w:rPr>
        <w:t>means any Person that is (i) a Lender, an Agent, the Lead Arranger or an Affiliate of the foregoing at the time it enters into a Swap Contract, or (ii) other than a Person listed in the foregoing clause (i), party to a Swap Contract with a Loan Party or any Restricted Subsidiary in its capacity as a party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thereto; </w:t>
      </w:r>
      <w:r>
        <w:rPr>
          <w:rFonts w:ascii="Times New Roman" w:hAnsi="Times New Roman"/>
          <w:color w:val="000000"/>
          <w:sz w:val="22"/>
          <w:u w:val="single"/>
        </w:rPr>
        <w:t>provided</w:t>
      </w:r>
      <w:r>
        <w:rPr>
          <w:rFonts w:ascii="Times New Roman" w:hAnsi="Times New Roman"/>
          <w:color w:val="000000"/>
          <w:sz w:val="22"/>
        </w:rPr>
        <w:t>, that no such Person (other than Wells Fargo or its Affiliates) shall constitute a Hedge Bank with respect to any Secured Hedge Agreement unless and until Administrative Agent receives a Cash Management/Hedge Provider Agreement from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Honor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IFRS</w:t>
      </w:r>
      <w:r>
        <w:rPr>
          <w:rFonts w:ascii="Times New Roman" w:hAnsi="Times New Roman"/>
          <w:color w:val="000000"/>
          <w:sz w:val="20"/>
        </w:rPr>
        <w:t xml:space="preserve">” </w:t>
      </w:r>
      <w:r>
        <w:rPr>
          <w:rFonts w:ascii="Times New Roman" w:hAnsi="Times New Roman"/>
          <w:color w:val="000000"/>
          <w:sz w:val="22"/>
        </w:rPr>
        <w:t>means International Financial Reporting Standards as adopted in the European Union.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 xml:space="preserve">means, at any date of determination, each Restricted Subsidiary of the Borrower (other than, for the avoidance of doubt, the Borrower) that has been designated by the Borrower in writing to the Administrative Agent as an “Immaterial Subsidiary” for purposes of this Agreement (and not re-designated as a Material Subsidiary as provided below),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for purposes of this Agreement, at no time shall (i) the assets of any single Immaterial Subsidiary at the last day of the most recent Test Period equal or exceed 5% of the total assets of the Borrower and its Restricted Subsidiaries at such date, (ii) the gross revenues or Consolidated EBITDA for such Test Period of any single Immaterial Subsidiary equal or exceed 5% of the consolidated gross revenues or Consolidated EBITDA, as applicable, of the Borrower and its Restricted Subsidiaries for such period, (iii) the total assets of all Immaterial Subsidiaries at the last day of the most recent Test Period equal or exceed 10% of the total assets of the Borrower and its Restricted Subsidiaries at such date or (iv) the gross revenues or Consolidated EBITDA for such Test Period of all Immaterial Subsidiaries equal or exceed 10% of the consolidated gross revenues or Consolidated EBITDA, as applicable, of the Borrower and its Restricted Subsidiaries for such period, in each case determined on a consolidated basis in accordance with GAAP, (b) the Borrower shall not designate any new Immaterial Subsidiary if such designation would not comply with the provisions set forth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and (c) if the total assets, gross revenues or Consolidated EBITDA of all Restricted Subsidiaries so designated by the Borrower as “Immaterial Subsidiaries” (and not re-designated as “Material Subsidiaries”) shall at any time exceed the limits set forth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then all such Restricted Subsidiaries shall be deemed to be Material Subsidiaries unless and until the Borrower shall re-designate one or more Immaterial Subsidiaries as Material Subsidiaries, in each case in a written notice to the Administrative Agent, and, as a result thereof, the total assets, gross revenues and Consolidated EBITDA of all Restricted Subsidiaries still designated as “Immaterial Subsidiaries” do not exceed such limits;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may designate and re-designate a Restricted Subsidiary as an Immaterial Subsidiary at any time, subject to the terms set forth in this definition. Notwithstanding the foregoing, no Subsidiary who holds legal title to or exclusively licenses (other than as a result of an exclusive license not prohibited by </w:t>
      </w:r>
      <w:r>
        <w:rPr>
          <w:rFonts w:ascii="Times New Roman" w:hAnsi="Times New Roman"/>
          <w:color w:val="000000"/>
          <w:sz w:val="22"/>
          <w:u w:val="single"/>
        </w:rPr>
        <w:t>Article VII</w:t>
      </w:r>
      <w:r>
        <w:rPr>
          <w:rFonts w:ascii="Times New Roman" w:hAnsi="Times New Roman"/>
          <w:color w:val="000000"/>
          <w:sz w:val="22"/>
        </w:rPr>
        <w:t>) any Material Intellectual Property may be designated as an Immaterial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Cap</w:t>
      </w:r>
      <w:r>
        <w:rPr>
          <w:rFonts w:ascii="Times New Roman" w:hAnsi="Times New Roman"/>
          <w:color w:val="000000"/>
          <w:sz w:val="20"/>
        </w:rPr>
        <w:t xml:space="preserve">” </w:t>
      </w:r>
      <w:r>
        <w:rPr>
          <w:rFonts w:ascii="Times New Roman" w:hAnsi="Times New Roman"/>
          <w:color w:val="000000"/>
          <w:sz w:val="22"/>
        </w:rPr>
        <w:t xml:space="preserve">means the sum of (i) an amount not to exceed the greater of (A) $100,000,000 and 100.0% of Consolidated EBITDA of the Borrower for the most recently ended Test Period calculated on a Pro Forma Basis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the amount of any voluntary prepayments, repurchases, redemptions or other retirements of the Term Loans and voluntary permanent reductions of the Revolving Credit Commitments effected after the Closing Date (including pursuant to debt buy-backs made by the Borrower or any Restricted Subsidiary pursuant to “Dutch Auction” procedures and open market purchases permitted hereunder, in an amount equal to the discounted amount actually paid in respect thereof, but excluding (A) any prepayment of Term Loans with the proceeds of substantially concurrent borrowings of new Loans hereunder, (B) any reduction of Revolving Credit Commitments in connection with a substantially concurrent issuance of new revolving commitments hereunder and (C) prepayments with the proceeds of substantially concurrent incurrence of other Indebtedness (other than borrowings under the Revolving Credit Facility or other revolving Indebtedness))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(iii) unlimited additional Incremental Facilities and Incremental Equivalent Debt so long as, after giving Pro Forma Effect thereto (assuming for these purposes the full amount of such Incremental Facilities are drawn) and after giving effect to any Permitted Acquisition consummated in connection therewith and all other appropriate Pro Forma Adjustments (but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excluding the cash proceeds of any such Incremental Facilities), the First Lien Net Leverage Ratio for the most recently ended Test Period shall not exceed 3.00:1.00 (this clause (iii), the “</w:t>
      </w:r>
      <w:r>
        <w:rPr>
          <w:rFonts w:ascii="Times New Roman" w:hAnsi="Times New Roman"/>
          <w:color w:val="000000"/>
          <w:sz w:val="22"/>
          <w:u w:val="single"/>
        </w:rPr>
        <w:t>Incremental Incurrence Test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Equivalent Debt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7.03(t)</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Facilities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Facility Amendment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Facility Closing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2.14(e)</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Incurrence Test</w:t>
      </w:r>
      <w:r>
        <w:rPr>
          <w:rFonts w:ascii="Times New Roman" w:hAnsi="Times New Roman"/>
          <w:color w:val="000000"/>
          <w:sz w:val="20"/>
        </w:rPr>
        <w:t xml:space="preserve">” </w:t>
      </w:r>
      <w:r>
        <w:rPr>
          <w:rFonts w:ascii="Times New Roman" w:hAnsi="Times New Roman"/>
          <w:color w:val="000000"/>
          <w:sz w:val="22"/>
        </w:rPr>
        <w:t>has the meaning specified in the definition of “Incremental Cap”.</w:t>
      </w:r>
    </w:p>
    <w:p>
      <w:pPr>
        <w:pStyle w:val="TextBody"/>
        <w:bidi w:val="0"/>
        <w:spacing w:before="0" w:after="240"/>
        <w:ind w:left="0" w:right="0" w:firstLine="720"/>
        <w:jc w:val="both"/>
        <w:rPr/>
      </w:pPr>
      <w:r>
        <w:rPr>
          <w:color w:val="000000"/>
        </w:rPr>
        <w:t>“</w:t>
      </w:r>
      <w:r>
        <w:rPr>
          <w:rFonts w:ascii="Times New Roman" w:hAnsi="Times New Roman"/>
          <w:color w:val="000000"/>
          <w:sz w:val="22"/>
        </w:rPr>
        <w:t xml:space="preserve">Incremental </w:t>
      </w:r>
      <w:r>
        <w:rPr>
          <w:rFonts w:ascii="Times New Roman" w:hAnsi="Times New Roman"/>
          <w:color w:val="000000"/>
          <w:sz w:val="22"/>
          <w:u w:val="single"/>
        </w:rPr>
        <w:t>Revolving Increase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rPr>
        <w:t xml:space="preserve">Incremental </w:t>
      </w:r>
      <w:r>
        <w:rPr>
          <w:rFonts w:ascii="Times New Roman" w:hAnsi="Times New Roman"/>
          <w:color w:val="000000"/>
          <w:sz w:val="22"/>
          <w:u w:val="single"/>
        </w:rPr>
        <w:t>Revolving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2.14(f)</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Incremental Term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Incurrence Based Amounts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1.09(b)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means, as to any Person at a particular time, without duplication, all of the following, whether or not included as indebtedness or liabilities in accordance with GAAP:</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all obligations of such Person for borrowed money and all obligations of such Person evidenced by bonds, debentures, notes, loan agreements or other similar instruments;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the maximum amount (after giving effect to any prior drawings or reductions which may have been reimbursed) of all letters of credit (including standby and commercial), banker’s acceptances, bank guaranties, surety bonds, performance bonds and similar instruments issued or created by or for the account of such Person;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net obligations of such Person under any Swap Contract;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all obligations of such Person to pay the deferred purchase price of property or services (other than (i) trade accounts payable in the ordinary course of business and (ii) any earn-out obligation until such obligation becomes a liability on the balance sheet of such Person in accordance with GAAP and if not paid when due and payable);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all Attributable Indebtedness;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all obligations of such Person in respect of Disqualified Equity Interests;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all Guarantee Obligations of such Person in respect of any of the foregoing.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For all purposes hereof, the Indebtedness of any Person shall include the Indebtedness of any partnership or joint venture (other than a joint venture that is itself a corporation, company, or limited liability company) in which such Person is a general partner or a joint venturer, except to the extent such Person’s liability for such Indebtedness is otherwise limited. The amount of any net obligation under any Swap Contract on any date shall be deemed to be the Swap Termination Value thereof as of such date. The amount of Indebtedness of any Person for purposes of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shall be deemed to be equal to the lesser of (i) the aggregate unpaid amount of such Indebtedness and (ii) the fair market value of the property encumbered thereby as determined by such Person in good faith.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Indemnified Liabilities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10.05</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means (a) all Taxes, other than Excluded Taxes, imposed on or in respect of any payment made by or on account of any obligation of any Loan Party under any Loan Document and (b) to the extent not otherwise described in (a), Other Taxes.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Indemnitees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10.05</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10.08</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Term Commitment</w:t>
      </w:r>
      <w:r>
        <w:rPr>
          <w:rFonts w:ascii="Times New Roman" w:hAnsi="Times New Roman"/>
          <w:color w:val="000000"/>
          <w:sz w:val="20"/>
        </w:rPr>
        <w:t xml:space="preserve">” </w:t>
      </w:r>
      <w:r>
        <w:rPr>
          <w:rFonts w:ascii="Times New Roman" w:hAnsi="Times New Roman"/>
          <w:color w:val="000000"/>
          <w:sz w:val="22"/>
        </w:rPr>
        <w:t xml:space="preserve">means, as to each Initial Term Lender, its obligation to make an Initial Term Loan to the Borrower pursuant to </w:t>
      </w:r>
      <w:r>
        <w:rPr>
          <w:rFonts w:ascii="Times New Roman" w:hAnsi="Times New Roman"/>
          <w:color w:val="000000"/>
          <w:sz w:val="22"/>
          <w:u w:val="single"/>
        </w:rPr>
        <w:t>Section 2.01</w:t>
      </w:r>
      <w:r>
        <w:rPr>
          <w:rFonts w:ascii="Times New Roman" w:hAnsi="Times New Roman"/>
          <w:color w:val="000000"/>
          <w:sz w:val="20"/>
        </w:rPr>
        <w:t xml:space="preserve"> </w:t>
      </w:r>
      <w:r>
        <w:rPr>
          <w:rFonts w:ascii="Times New Roman" w:hAnsi="Times New Roman"/>
          <w:color w:val="000000"/>
          <w:sz w:val="22"/>
        </w:rPr>
        <w:t xml:space="preserve">in an aggregate principal amount not to exceed the amount set forth opposite such Lender’s name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under the caption “Initial Term Commitment” or in the Assignment and Assumption pursuant to which such Initial Term Lender becomes a party hereto, as applicable, as such amount may be adjusted from time to time in accordance with this Agreement. The initial aggregate amount of the Initial Term Commitments is $180,000,000. The aggregate amount of the Initial Term Commitments as of the Second Amendment Effective Date is $0.</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Term Lender</w:t>
      </w:r>
      <w:r>
        <w:rPr>
          <w:rFonts w:ascii="Times New Roman" w:hAnsi="Times New Roman"/>
          <w:color w:val="000000"/>
          <w:sz w:val="20"/>
        </w:rPr>
        <w:t xml:space="preserve">” </w:t>
      </w:r>
      <w:r>
        <w:rPr>
          <w:rFonts w:ascii="Times New Roman" w:hAnsi="Times New Roman"/>
          <w:color w:val="000000"/>
          <w:sz w:val="22"/>
        </w:rPr>
        <w:t>means, at any time, any Lender that has an Initial Term Commitment or an Initial Term Loan at such time.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Initial Term Loan</w:t>
      </w:r>
      <w:r>
        <w:rPr>
          <w:rFonts w:ascii="Times New Roman" w:hAnsi="Times New Roman"/>
          <w:color w:val="000000"/>
          <w:sz w:val="20"/>
        </w:rPr>
        <w:t xml:space="preserve">” </w:t>
      </w:r>
      <w:r>
        <w:rPr>
          <w:rFonts w:ascii="Times New Roman" w:hAnsi="Times New Roman"/>
          <w:color w:val="000000"/>
          <w:sz w:val="22"/>
        </w:rPr>
        <w:t xml:space="preserve">means a Loan made pursuant to </w:t>
      </w:r>
      <w:r>
        <w:rPr>
          <w:rFonts w:ascii="Times New Roman" w:hAnsi="Times New Roman"/>
          <w:color w:val="000000"/>
          <w:sz w:val="22"/>
          <w:u w:val="single"/>
        </w:rPr>
        <w:t>Section 2.01(a)</w:t>
      </w:r>
      <w:r>
        <w:rPr>
          <w:rFonts w:ascii="Times New Roman" w:hAnsi="Times New Roman"/>
          <w:color w:val="000000"/>
          <w:sz w:val="22"/>
        </w:rPr>
        <w:t>. The aggregate principal amount of the Initial Term Loans as of the Second Amendment Effective Date is $0.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Intellectual Property</w:t>
      </w:r>
      <w:r>
        <w:rPr>
          <w:rFonts w:ascii="Times New Roman" w:hAnsi="Times New Roman"/>
          <w:color w:val="000000"/>
          <w:sz w:val="20"/>
        </w:rPr>
        <w:t xml:space="preserve">” </w:t>
      </w:r>
      <w:r>
        <w:rPr>
          <w:rFonts w:ascii="Times New Roman" w:hAnsi="Times New Roman"/>
          <w:color w:val="000000"/>
          <w:sz w:val="22"/>
        </w:rPr>
        <w:t>means all intellectual property and rights therein arising under applicable Law, including but not limited to (i) Patents (as defined in the Security Agreement), Copyrights (as defined in the Security Agreement), Trademarks (as defined in the Security Agreement), domain names, trade secrets, technical and business information (including customer lists), inventions (whether or not patentable), works of authorship, know-how, show-how, methodologies, tools, data, databases, software, specifications, documentations and any other forms of technology, (ii) registrations and application for any of the foregoing, (iii) income, fees, royalties, damages, and payments now and hereafter due and/or payable with respect to any of the foregoing, and (iv) rights to sue for past, present, and future infringement, misappropriation, or other violation of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Interest Charges</w:t>
      </w:r>
      <w:r>
        <w:rPr>
          <w:rFonts w:ascii="Times New Roman" w:hAnsi="Times New Roman"/>
          <w:color w:val="000000"/>
          <w:sz w:val="20"/>
        </w:rPr>
        <w:t xml:space="preserve">” </w:t>
      </w:r>
      <w:r>
        <w:rPr>
          <w:rFonts w:ascii="Times New Roman" w:hAnsi="Times New Roman"/>
          <w:color w:val="000000"/>
          <w:sz w:val="22"/>
        </w:rPr>
        <w:t xml:space="preserve">means, with respect to any Person for any period, the sum of (a) Consolidated Interest Expense of such Person for such period;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all cash dividend payments (excluding items eliminated in consolidation) on any series of Disqualified Equity Interests of such Person or any Restricted Subsidiary of such Person made during such period.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 xml:space="preserve">means (a) as to any Loan other than a Base Rate Loan, the last day of each Interest Period applicable to such Loan and the Maturity Date of the Facility under which such Loan was made;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Interest Period for a SOFR Loan (other than the initial Interest Period) exceeds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three months, the respective dates that fall every three months after the beginning of such Interest Period shall also be Interest Payment Dates, subject to the definition of “Interest Period”; and (b) as to any Base Rate Loan (including any Swing Line Loan), the first day of each calendar quarter and the Maturity Date of the Facility under which such Loan was made.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 xml:space="preserve">means, as to each SOFR Loan, the period commencing on the date such Loan is disbursed or converted to or continued as a SOFR Loan and ending on the date one, three or six months thereafter, or to the extent agreed to by each Lender of such SOFR Loan and the Administrative Agent, twelve months or any other period thereafter as selected by the Borrower in its Committed Loan Notice;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preceding Business Day;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no Interest Period shall extend beyond the Maturity Date of the Facility under which such Loan was made;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no tenor that has been removed from this definition pursuant to </w:t>
      </w:r>
      <w:r>
        <w:rPr>
          <w:rFonts w:ascii="Times New Roman" w:hAnsi="Times New Roman"/>
          <w:color w:val="000000"/>
          <w:sz w:val="22"/>
          <w:u w:val="single"/>
        </w:rPr>
        <w:t>Section 3.02(e)</w:t>
      </w:r>
      <w:r>
        <w:rPr>
          <w:rFonts w:ascii="Times New Roman" w:hAnsi="Times New Roman"/>
          <w:color w:val="000000"/>
          <w:sz w:val="20"/>
        </w:rPr>
        <w:t xml:space="preserve"> </w:t>
      </w:r>
      <w:r>
        <w:rPr>
          <w:rFonts w:ascii="Times New Roman" w:hAnsi="Times New Roman"/>
          <w:color w:val="000000"/>
          <w:sz w:val="22"/>
        </w:rPr>
        <w:t>shall be available for specification in any SOFR Notice or conversion or continuation notice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Notwithstanding the foregoing, the Borrower may select an initial Interest Period for the Initial Term Loans that is, subject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of the definition of “Interest Period,” a one-month SOFR Loan ending February 1, 2023.</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as to any Person, any direct or indirect acquisition or investment by such Person, whether by means of (a) the purchase or other acquisition of Equity Interests or debt or other securities of another Person, (b) a loan, advance or capital contribution to, Guarantee Obligation with respect to any obligation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covenant compliance, the amount of any Investment shall be the amount actually invested, without adjustment for subsequent increases or decreases in the value of such Investment.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Investment Grade Rating</w:t>
      </w:r>
      <w:r>
        <w:rPr>
          <w:rFonts w:ascii="Times New Roman" w:hAnsi="Times New Roman"/>
          <w:color w:val="000000"/>
          <w:sz w:val="20"/>
        </w:rPr>
        <w:t xml:space="preserve">” </w:t>
      </w:r>
      <w:r>
        <w:rPr>
          <w:rFonts w:ascii="Times New Roman" w:hAnsi="Times New Roman"/>
          <w:color w:val="000000"/>
          <w:sz w:val="22"/>
        </w:rPr>
        <w:t>means a rating equal to or higher than Baa3 (or the equivalent) by Moody’s and BBB- (or the equivalent) by S&amp;P, or an equivalent rating by Fitch, Inc.</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IP Rights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5.14</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ISP</w:t>
      </w:r>
      <w:r>
        <w:rPr>
          <w:rFonts w:ascii="Times New Roman" w:hAnsi="Times New Roman"/>
          <w:color w:val="000000"/>
          <w:sz w:val="20"/>
        </w:rPr>
        <w:t xml:space="preserve">” </w:t>
      </w:r>
      <w:r>
        <w:rPr>
          <w:rFonts w:ascii="Times New Roman" w:hAnsi="Times New Roman"/>
          <w:color w:val="000000"/>
          <w:sz w:val="22"/>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Issuer Document</w:t>
      </w:r>
      <w:r>
        <w:rPr>
          <w:rFonts w:ascii="Times New Roman" w:hAnsi="Times New Roman"/>
          <w:color w:val="000000"/>
          <w:sz w:val="20"/>
        </w:rPr>
        <w:t xml:space="preserve">” </w:t>
      </w:r>
      <w:r>
        <w:rPr>
          <w:rFonts w:ascii="Times New Roman" w:hAnsi="Times New Roman"/>
          <w:color w:val="000000"/>
          <w:sz w:val="22"/>
        </w:rPr>
        <w:t>means, with respect to any Letter of Credit, a Letter of Credit Application, a letter of credit agreement, or any other document, agreement or instrument entered into (or to be entered into) by the Borrower in favor of the L/C Issuer and relating to such Letter of Credit.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Judgment Currency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10.17</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JV Entity</w:t>
      </w:r>
      <w:r>
        <w:rPr>
          <w:rFonts w:ascii="Times New Roman" w:hAnsi="Times New Roman"/>
          <w:color w:val="000000"/>
          <w:sz w:val="20"/>
        </w:rPr>
        <w:t xml:space="preserve">” </w:t>
      </w:r>
      <w:r>
        <w:rPr>
          <w:rFonts w:ascii="Times New Roman" w:hAnsi="Times New Roman"/>
          <w:color w:val="000000"/>
          <w:sz w:val="22"/>
        </w:rPr>
        <w:t>means any joint venture of the Borrower or any Restricted Subsidiary that is not a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 Advance</w:t>
      </w:r>
      <w:r>
        <w:rPr>
          <w:rFonts w:ascii="Times New Roman" w:hAnsi="Times New Roman"/>
          <w:color w:val="000000"/>
          <w:sz w:val="20"/>
        </w:rPr>
        <w:t xml:space="preserve">” </w:t>
      </w:r>
      <w:r>
        <w:rPr>
          <w:rFonts w:ascii="Times New Roman" w:hAnsi="Times New Roman"/>
          <w:color w:val="000000"/>
          <w:sz w:val="22"/>
        </w:rPr>
        <w:t>means, with respect to each Revolving Credit Lender, such Lender’s funding of its participation in any L/C Borrowing in accordance with its Applicable Percentage.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 Borrowing</w:t>
      </w:r>
      <w:r>
        <w:rPr>
          <w:rFonts w:ascii="Times New Roman" w:hAnsi="Times New Roman"/>
          <w:color w:val="000000"/>
          <w:sz w:val="20"/>
        </w:rPr>
        <w:t xml:space="preserve">” </w:t>
      </w:r>
      <w:r>
        <w:rPr>
          <w:rFonts w:ascii="Times New Roman" w:hAnsi="Times New Roman"/>
          <w:color w:val="000000"/>
          <w:sz w:val="22"/>
        </w:rPr>
        <w:t>means an extension of credit resulting from a drawing under any Letter of Credit which has not been reimbursed on the applicable Honor Date or refinanced as a Revolving Credit Borrowing.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 Credit Extension</w:t>
      </w:r>
      <w:r>
        <w:rPr>
          <w:rFonts w:ascii="Times New Roman" w:hAnsi="Times New Roman"/>
          <w:color w:val="000000"/>
          <w:sz w:val="20"/>
        </w:rPr>
        <w:t xml:space="preserve">” </w:t>
      </w:r>
      <w:r>
        <w:rPr>
          <w:rFonts w:ascii="Times New Roman" w:hAnsi="Times New Roman"/>
          <w:color w:val="000000"/>
          <w:sz w:val="22"/>
        </w:rPr>
        <w:t>means, with respect to any Letter of Credit, the issuance thereof or extension of the expiry date thereof, or the renewal or increase of the amount thereof.</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 Issuer</w:t>
      </w:r>
      <w:r>
        <w:rPr>
          <w:rFonts w:ascii="Times New Roman" w:hAnsi="Times New Roman"/>
          <w:color w:val="000000"/>
          <w:sz w:val="20"/>
        </w:rPr>
        <w:t xml:space="preserve">” </w:t>
      </w:r>
      <w:r>
        <w:rPr>
          <w:rFonts w:ascii="Times New Roman" w:hAnsi="Times New Roman"/>
          <w:color w:val="000000"/>
          <w:sz w:val="22"/>
        </w:rPr>
        <w:t xml:space="preserve">means the Administrative Agent and any other Revolving Credit Lender (or any of its Subsidiaries or Affiliates) that becomes an L/C Issuer in accordance with </w:t>
      </w:r>
      <w:r>
        <w:rPr>
          <w:rFonts w:ascii="Times New Roman" w:hAnsi="Times New Roman"/>
          <w:color w:val="000000"/>
          <w:sz w:val="22"/>
          <w:u w:val="single"/>
        </w:rPr>
        <w:t>Section 2.03(j)</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10.07(j)</w:t>
      </w:r>
      <w:r>
        <w:rPr>
          <w:rFonts w:ascii="Times New Roman" w:hAnsi="Times New Roman"/>
          <w:color w:val="000000"/>
          <w:sz w:val="22"/>
        </w:rPr>
        <w:t>. Unless the context requires otherwise, the L/C Issuer shall be deemed to be a “Lender” hereunder and the other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 Obligation</w:t>
      </w:r>
      <w:r>
        <w:rPr>
          <w:rFonts w:ascii="Times New Roman" w:hAnsi="Times New Roman"/>
          <w:color w:val="000000"/>
          <w:sz w:val="20"/>
        </w:rPr>
        <w:t xml:space="preserve">” </w:t>
      </w:r>
      <w:r>
        <w:rPr>
          <w:rFonts w:ascii="Times New Roman" w:hAnsi="Times New Roman"/>
          <w:color w:val="000000"/>
          <w:sz w:val="22"/>
        </w:rPr>
        <w:t>means, as at any date of determination, the aggregate maximum amount then available to be drawn under all outstanding Letters of Credit plus the aggregate of all Unreimbursed Amounts in respect of Letters of Credit, including all L/C Borrowings.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Latest Maturity Date</w:t>
      </w:r>
      <w:r>
        <w:rPr>
          <w:rFonts w:ascii="Times New Roman" w:hAnsi="Times New Roman"/>
          <w:color w:val="000000"/>
          <w:sz w:val="20"/>
        </w:rPr>
        <w:t xml:space="preserve">” </w:t>
      </w:r>
      <w:r>
        <w:rPr>
          <w:rFonts w:ascii="Times New Roman" w:hAnsi="Times New Roman"/>
          <w:color w:val="000000"/>
          <w:sz w:val="22"/>
        </w:rPr>
        <w:t>means, at any date of determination, the latest Maturity Date applicable to any Loan or Term Commitment hereunder at such time, including the latest maturity date of any Extended Revolving Credit Commitment, Additional Revolving Credit Commitment, Extended Term Loan or Incremental Term Loan, in each case as extended in accordance with this Agreement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Laws</w:t>
      </w:r>
      <w:r>
        <w:rPr>
          <w:rFonts w:ascii="Times New Roman" w:hAnsi="Times New Roman"/>
          <w:color w:val="000000"/>
          <w:sz w:val="20"/>
        </w:rPr>
        <w:t xml:space="preserve">” </w:t>
      </w:r>
      <w:r>
        <w:rPr>
          <w:rFonts w:ascii="Times New Roman" w:hAnsi="Times New Roman"/>
          <w:color w:val="000000"/>
          <w:sz w:val="22"/>
        </w:rPr>
        <w:t>means, collectively, all international, foreign, federal, state, provincial and local laws (including common laws),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LCA Election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1.09(a)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LCA Test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1.09(a)</w:t>
      </w:r>
      <w:r>
        <w:rPr>
          <w:rFonts w:ascii="Times New Roman" w:hAnsi="Times New Roman"/>
          <w:color w:val="000000"/>
          <w:sz w:val="22"/>
        </w:rPr>
        <w:t>.</w:t>
      </w:r>
    </w:p>
    <w:p>
      <w:pPr>
        <w:pStyle w:val="TextBody"/>
        <w:bidi w:val="0"/>
        <w:ind w:left="0" w:right="0" w:firstLine="720"/>
        <w:jc w:val="left"/>
        <w:rPr/>
      </w:pPr>
      <w:r>
        <w:rPr>
          <w:color w:val="000000"/>
        </w:rPr>
        <w:t>“</w:t>
      </w:r>
      <w:r>
        <w:rPr>
          <w:rFonts w:ascii="Times New Roman" w:hAnsi="Times New Roman"/>
          <w:color w:val="000000"/>
          <w:sz w:val="22"/>
          <w:u w:val="single"/>
        </w:rPr>
        <w:t>Lead Arranger</w:t>
      </w:r>
      <w:r>
        <w:rPr>
          <w:rFonts w:ascii="Times New Roman" w:hAnsi="Times New Roman"/>
          <w:color w:val="000000"/>
          <w:sz w:val="20"/>
        </w:rPr>
        <w:t xml:space="preserve">” </w:t>
      </w:r>
      <w:r>
        <w:rPr>
          <w:rFonts w:ascii="Times New Roman" w:hAnsi="Times New Roman"/>
          <w:color w:val="000000"/>
          <w:sz w:val="22"/>
        </w:rPr>
        <w:t>means Silicon Valley Bank, a division of First-Citizens Bank &amp; Trust Company and Keybank National Association, each in their capacities as Lead Arranger and Bookrunner under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Lender</w:t>
      </w:r>
      <w:r>
        <w:rPr>
          <w:rFonts w:ascii="Times New Roman" w:hAnsi="Times New Roman"/>
          <w:color w:val="000000"/>
          <w:sz w:val="20"/>
        </w:rPr>
        <w:t xml:space="preserve">” </w:t>
      </w:r>
      <w:r>
        <w:rPr>
          <w:rFonts w:ascii="Times New Roman" w:hAnsi="Times New Roman"/>
          <w:color w:val="000000"/>
          <w:sz w:val="22"/>
        </w:rPr>
        <w:t>has the meaning specified in the introductory paragraph to this Agreement and, as the context requires, includes an L/C Issuer and a Swing Line Lender, and its respective successors and assigns as permitted hereunder, each of which is referred to herein as a “Lender.”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Lender Participation Notice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means any letter of credit issued hereunder, which shall be a standby letter of credit and issued in Dollars.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Letter of Credit Application</w:t>
      </w:r>
      <w:r>
        <w:rPr>
          <w:rFonts w:ascii="Times New Roman" w:hAnsi="Times New Roman"/>
          <w:color w:val="000000"/>
          <w:sz w:val="20"/>
        </w:rPr>
        <w:t xml:space="preserve">” </w:t>
      </w:r>
      <w:r>
        <w:rPr>
          <w:rFonts w:ascii="Times New Roman" w:hAnsi="Times New Roman"/>
          <w:color w:val="000000"/>
          <w:sz w:val="22"/>
        </w:rPr>
        <w:t>means an application and agreement for the issuance or amendment of a Letter of Credit in the form from time to time in use by the relevant L/C Issuer.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Letter of Credit Expiration Date</w:t>
      </w:r>
      <w:r>
        <w:rPr>
          <w:rFonts w:ascii="Times New Roman" w:hAnsi="Times New Roman"/>
          <w:color w:val="000000"/>
          <w:sz w:val="20"/>
        </w:rPr>
        <w:t xml:space="preserve">” </w:t>
      </w:r>
      <w:r>
        <w:rPr>
          <w:rFonts w:ascii="Times New Roman" w:hAnsi="Times New Roman"/>
          <w:color w:val="000000"/>
          <w:sz w:val="22"/>
        </w:rPr>
        <w:t>means the day that is five (5) Business Days prior to the scheduled Maturity Date then in effect for the Revolving Credit Facility (or, if such day is not a Business Day, the next Business Day).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Letter of Credit Sublimit</w:t>
      </w:r>
      <w:r>
        <w:rPr>
          <w:rFonts w:ascii="Times New Roman" w:hAnsi="Times New Roman"/>
          <w:color w:val="000000"/>
          <w:sz w:val="20"/>
        </w:rPr>
        <w:t xml:space="preserve">” </w:t>
      </w:r>
      <w:r>
        <w:rPr>
          <w:rFonts w:ascii="Times New Roman" w:hAnsi="Times New Roman"/>
          <w:color w:val="000000"/>
          <w:sz w:val="22"/>
        </w:rPr>
        <w:t>means an amount equal to the lesser of (a) $20,000,000 and (b) the aggregate amount of the Revolving Credit Commitments.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means any mortgage, pledge, hypothecation, assignment, deposit arrangement, encumbrance, lien (statutory or other), charge, assignment (by way of security or otherwise), deemed trust, or preference, priority or other security interest or preferential arrangement of any kind or nature whatsoever (including any conditional sale or other title retention agreement, any encumbrance on title to real property, either securing or otherwise governing a monetary obligation of the fee owner, and any Capitalized Lease having substantially the same economic effect as any of the foregoing).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Limited Condition Transaction</w:t>
      </w:r>
      <w:r>
        <w:rPr>
          <w:rFonts w:ascii="Times New Roman" w:hAnsi="Times New Roman"/>
          <w:color w:val="000000"/>
          <w:sz w:val="20"/>
        </w:rPr>
        <w:t xml:space="preserve">” </w:t>
      </w:r>
      <w:r>
        <w:rPr>
          <w:rFonts w:ascii="Times New Roman" w:hAnsi="Times New Roman"/>
          <w:color w:val="000000"/>
          <w:sz w:val="22"/>
        </w:rPr>
        <w:t>means (x) any acquisition or other investment, including by way of merger, by the Borrower or one or more of its Restricted Subsidiaries permitted pursuant to this Agreement whose consummation is not conditioned upon the availability of, or on obtaining, third party financing or is simultaneously signed and closed or (y) any redemption, repurchase, defeasance, satisfaction and discharge or repayment of indebtedness requiring irrevocable notice in advance of such redemption, repurchase, satisfaction and discharge or repayment.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Liquidity</w:t>
      </w:r>
      <w:r>
        <w:rPr>
          <w:rFonts w:ascii="Times New Roman" w:hAnsi="Times New Roman"/>
          <w:color w:val="000000"/>
          <w:sz w:val="20"/>
        </w:rPr>
        <w:t xml:space="preserve">” </w:t>
      </w:r>
      <w:r>
        <w:rPr>
          <w:rFonts w:ascii="Times New Roman" w:hAnsi="Times New Roman"/>
          <w:color w:val="000000"/>
          <w:sz w:val="22"/>
        </w:rPr>
        <w:t xml:space="preserve">means as of the date of determination the sum of (a) (x) the aggregate Revolving Credit Commitments as of such date minus (y) the aggregate Revolving Credit Exposure as of such date plus (b) the aggregate amount of unrestricted cash and Cash Equivalents of the Borrower and its Restricted Subsidiaries (in each case, free and clear of all Liens other than any nonconsensual Lien that are permitted under the Loan Documents, Liens of the Collateral Agent and Liens that are subordinated to the Liens of the Collateral Agent pursuant to an Acceptable Intercreditor Agreement) included in the consolidated balance sheet of the Borrower and its Restricted Subsidiaries as of such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aggregate amount of unrestricted cash and Cash Equivalents held in accounts maintained by or for the benefit of a non-Loan Party Restricted Subsidiaries or in accounts located outside of the United States shall not exceed $10,000,000 for purposes of calculating Liquidity at any time for any purposes under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 xml:space="preserve">means an extension of credit by a Lender to the Borrower under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in the form of a Term Loan or a Revolving Credit Loan or a Swing Line Loan (including any Incremental Term Loans, any Extended Term Loans, loans made pursuant to Additional Revolving Credit Commitments and loans made pursuant to Extended Revolving Credit Commitments).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 Account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2.18</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means, collectively, (i) this Agreement, (ii) the Notes, (iii) the Guaranty, (iv) the Collateral Documents and (v) each Acceptable Intercreditor Agreement, in each case as amended in accordance with this Agreement.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Loan Parties</w:t>
      </w:r>
      <w:r>
        <w:rPr>
          <w:rFonts w:ascii="Times New Roman" w:hAnsi="Times New Roman"/>
          <w:color w:val="000000"/>
          <w:sz w:val="20"/>
        </w:rPr>
        <w:t xml:space="preserve">” </w:t>
      </w:r>
      <w:r>
        <w:rPr>
          <w:rFonts w:ascii="Times New Roman" w:hAnsi="Times New Roman"/>
          <w:color w:val="000000"/>
          <w:sz w:val="22"/>
        </w:rPr>
        <w:t>means, collectively, (i) the Borrower and (ii) each other Guarantor.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Master Agreement</w:t>
      </w:r>
      <w:r>
        <w:rPr>
          <w:rFonts w:ascii="Times New Roman" w:hAnsi="Times New Roman"/>
          <w:color w:val="000000"/>
          <w:sz w:val="20"/>
        </w:rPr>
        <w:t xml:space="preserve">” </w:t>
      </w:r>
      <w:r>
        <w:rPr>
          <w:rFonts w:ascii="Times New Roman" w:hAnsi="Times New Roman"/>
          <w:color w:val="000000"/>
          <w:sz w:val="22"/>
        </w:rPr>
        <w:t>has the meaning specified in the definition of “Swap Contract.”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means (a) a material adverse effect on the business, operations, assets, liabilities (actual or contingent) or financial condition of the Borrower and its Restricted Subsidiaries, taken as a whole, (b) a material adverse effect on the ability of the Loan Parties (taken as a whole) to perform their respective payment obligations under any Loan Document to which any of the Loan Parties is a party or (c) a material adverse effect on the rights and remedies of the Lenders or the Agents under any Loan Document.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Intellectual Property</w:t>
      </w:r>
      <w:r>
        <w:rPr>
          <w:rFonts w:ascii="Times New Roman" w:hAnsi="Times New Roman"/>
          <w:color w:val="000000"/>
          <w:sz w:val="20"/>
        </w:rPr>
        <w:t xml:space="preserve">” </w:t>
      </w:r>
      <w:r>
        <w:rPr>
          <w:rFonts w:ascii="Times New Roman" w:hAnsi="Times New Roman"/>
          <w:color w:val="000000"/>
          <w:sz w:val="22"/>
        </w:rPr>
        <w:t>means Intellectual Property that is material to the business of the Borrower and the Restricted Subsidiaries (taken as a whole).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Real Property</w:t>
      </w:r>
      <w:r>
        <w:rPr>
          <w:rFonts w:ascii="Times New Roman" w:hAnsi="Times New Roman"/>
          <w:color w:val="000000"/>
          <w:sz w:val="20"/>
        </w:rPr>
        <w:t xml:space="preserve">” </w:t>
      </w:r>
      <w:r>
        <w:rPr>
          <w:rFonts w:ascii="Times New Roman" w:hAnsi="Times New Roman"/>
          <w:color w:val="000000"/>
          <w:sz w:val="22"/>
        </w:rPr>
        <w:t xml:space="preserve">means (a) any real property located in the United States that is wholly owned in fee by a Loan Party on the Closing Date having a fair market value in excess of $20,000,000 and (b) any real property acquired and wholly owned in fee by any Loan Party following the Closing Date (or owned by any Person that becomes a Loan Party after the Closing Date) and located in the United States with a fair market value in excess of $20,000,000;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real property that is wholly or partially identified by the Federal Emergency Management Agency (or any successor agency) as a Flood Zone Property shall constitute Material Real Property.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Material Subsidiary</w:t>
      </w:r>
      <w:r>
        <w:rPr>
          <w:rFonts w:ascii="Times New Roman" w:hAnsi="Times New Roman"/>
          <w:color w:val="000000"/>
          <w:sz w:val="20"/>
        </w:rPr>
        <w:t xml:space="preserve">” </w:t>
      </w:r>
      <w:r>
        <w:rPr>
          <w:rFonts w:ascii="Times New Roman" w:hAnsi="Times New Roman"/>
          <w:color w:val="000000"/>
          <w:sz w:val="22"/>
        </w:rPr>
        <w:t>means, at any date of determination, each Restricted Subsidiary of the Borrower that is not an Immaterial Subsidiary (but including, in any case, any Restricted Subsidiary that has been designated as a Material Subsidiary as provided in, or that has been designated as an Immaterial Subsidiary in a manner that does not comply with, the definition of “Immaterial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Maturity Date</w:t>
      </w:r>
      <w:r>
        <w:rPr>
          <w:rFonts w:ascii="Times New Roman" w:hAnsi="Times New Roman"/>
          <w:color w:val="000000"/>
          <w:sz w:val="20"/>
        </w:rPr>
        <w:t xml:space="preserve">” </w:t>
      </w:r>
      <w:r>
        <w:rPr>
          <w:rFonts w:ascii="Times New Roman" w:hAnsi="Times New Roman"/>
          <w:color w:val="000000"/>
          <w:sz w:val="22"/>
        </w:rPr>
        <w:t xml:space="preserve">means (a) with respect to the Revolving Credit Facility, January 30, 2031 (or, with respect to any (i) Additional Revolving Credit Commitments, the maturity date applicable to such Additional Revolving Credit Commitments in accordance with the terms hereof or (ii) Extended Revolving Credit Commitments, the maturity date applicable to such Extended Revolving Credit Commitments in accordance with the terms hereof) and (b) with respect to any (i) Extended Term Loan, the maturity date applicable to such Extended Term Loan in accordance with the terms hereof or (ii) Incremental Term Loan, the maturity date applicable to such Incremental Term Loan in accordance with the terms 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such day is not a Business Day, the Maturity Date shall be the Business Day immediately preceding such day.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Maximum Tender Condition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MFN Adjustment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Minimum Extension Condition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Minimum Tender Condition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2.17(b)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Minimum Tranche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means Moody’s Investors Service, Inc. and any successor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w:t>
      </w:r>
      <w:r>
        <w:rPr>
          <w:rFonts w:ascii="Times New Roman" w:hAnsi="Times New Roman"/>
          <w:color w:val="000000"/>
          <w:sz w:val="20"/>
        </w:rPr>
        <w:t xml:space="preserve">” </w:t>
      </w:r>
      <w:r>
        <w:rPr>
          <w:rFonts w:ascii="Times New Roman" w:hAnsi="Times New Roman"/>
          <w:color w:val="000000"/>
          <w:sz w:val="22"/>
        </w:rPr>
        <w:t>means, collectively, the deeds of trust, trust deeds, deeds of hypothecation, security deeds, and mortgages creating and evidencing a Lien on a Mortgaged Property made by the Loan Parties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favor or for the benefit of the Collateral Agent on behalf of the Secured Parties in form and substance reasonably satisfactory to the Collateral Agent, and any other mortgages executed and delivered pursuant to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6.13</w:t>
      </w:r>
      <w:r>
        <w:rPr>
          <w:rFonts w:ascii="Times New Roman" w:hAnsi="Times New Roman"/>
          <w:color w:val="000000"/>
          <w:sz w:val="22"/>
        </w:rPr>
        <w:t>, as applicable.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 Policies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paragraph (f)</w:t>
      </w:r>
      <w:r>
        <w:rPr>
          <w:rFonts w:ascii="Times New Roman" w:hAnsi="Times New Roman"/>
          <w:color w:val="000000"/>
          <w:sz w:val="20"/>
        </w:rPr>
        <w:t xml:space="preserve"> </w:t>
      </w:r>
      <w:r>
        <w:rPr>
          <w:rFonts w:ascii="Times New Roman" w:hAnsi="Times New Roman"/>
          <w:color w:val="000000"/>
          <w:sz w:val="22"/>
        </w:rPr>
        <w:t>of the definition of Collateral and Guarantee Requirement.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Mortgaged Property</w:t>
      </w:r>
      <w:r>
        <w:rPr>
          <w:rFonts w:ascii="Times New Roman" w:hAnsi="Times New Roman"/>
          <w:color w:val="000000"/>
          <w:sz w:val="20"/>
        </w:rPr>
        <w:t xml:space="preserve">” </w:t>
      </w:r>
      <w:r>
        <w:rPr>
          <w:rFonts w:ascii="Times New Roman" w:hAnsi="Times New Roman"/>
          <w:color w:val="000000"/>
          <w:sz w:val="22"/>
        </w:rPr>
        <w:t xml:space="preserve">means each Material Real Property, if any, which shall be subject to a Mortgage delivered pursuant to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6.13</w:t>
      </w:r>
      <w:r>
        <w:rPr>
          <w:rFonts w:ascii="Times New Roman" w:hAnsi="Times New Roman"/>
          <w:color w:val="000000"/>
          <w:sz w:val="22"/>
        </w:rPr>
        <w:t>, as applicable.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Multiemployer Plan</w:t>
      </w:r>
      <w:r>
        <w:rPr>
          <w:rFonts w:ascii="Times New Roman" w:hAnsi="Times New Roman"/>
          <w:color w:val="000000"/>
          <w:sz w:val="20"/>
        </w:rPr>
        <w:t xml:space="preserve">” </w:t>
      </w:r>
      <w:r>
        <w:rPr>
          <w:rFonts w:ascii="Times New Roman" w:hAnsi="Times New Roman"/>
          <w:color w:val="000000"/>
          <w:sz w:val="22"/>
        </w:rPr>
        <w:t>means any employee benefit plan of the type described in Section 4001(a)(3) of ERISA, other than a Foreign Plan, to which the Borrower or any ERISA Affiliate makes or is obligated to make contributions, or during the immediately preceding six (6) years, has made or been obligated to make contributions.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Necessary Cure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8.05(b)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Net Cash Proceeds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with respect to the Disposition of any asset by the Borrower or any Restricted Subsidiary or any Casualty Event, an amount equal to the excess, if any, of (i)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Restricted Subsidiary) over (ii) the sum of (A) the principal amount, premium or penalty, if any, interest and other amounts on any Indebtedness that is secured by the asset subject to such Disposition or Casualty Event and that is required to be repaid (and is timely repaid) in connection with such Disposition or Casualty Event (other than Indebtedness under the Loan Documents and Indebtedness that is secured by Liens ranking junior to or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 xml:space="preserve">with the Liens securing Obligations under the Loan Documents), (B) the out-of-pocket fees and expenses (including attorneys’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or Casualty Event, (C) taxes paid or reasonably estimated to be actually payable in connection therewith (including, for the avoidance of doubt, any income, withholding and other taxes payable as a result of the distribution of such proceeds to the Borrower), and (D) any reserve for adjustment in respect of (x) the sale price of such asset or assets or purchase price adjustment established in accordance with GAAP and (y) any liabilities associated with such asset or assets and retained by the Borrower or any Restricted Subsidiary after such sale or other disposition thereof, including pension and other post-employment benefit liabilities and liabilities related to environmental matters or with respect to any indemnification obligations associated with such transaction, it being understood that “Net Cash Proceeds” shall include (i) any cash or Cash Equivalents received upon the Disposition of any non-cash consideration by the Borrower or any Restricted Subsidiary in any such Disposition and (ii) upon the reversal (without the satisfaction of any applicable liabilities in cash in a corresponding amount) of any reserve described in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above or if such liabilities have not been satisfied in cash and such reserve is not reversed within 365 days after such Disposition or Casualty Event, the amount of such reserve; and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(i) with respect to the incurrence or issuance of any Indebtedness by the Borrower or any Restricted Subsidiary, the excess, if any, of (x) the sum of the cash received in connection with such incurrence or issuance over (y) the investment banking fees, underwriting discounts, commissions, Taxes, costs and other out-of-pocket expenses and other customary expenses incurred by the Borrower or such Restricted Subsidiary in connection with such incurrence or issuance and (ii) with respect to any Permitted Equity Issuance by any direct or indirect parent of the Borrower, the amount of cash from such Permitted Equity Issuance contributed to the capital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New Contracts</w:t>
      </w:r>
      <w:r>
        <w:rPr>
          <w:rFonts w:ascii="Times New Roman" w:hAnsi="Times New Roman"/>
          <w:color w:val="000000"/>
          <w:sz w:val="20"/>
        </w:rPr>
        <w:t xml:space="preserve">” </w:t>
      </w:r>
      <w:r>
        <w:rPr>
          <w:rFonts w:ascii="Times New Roman" w:hAnsi="Times New Roman"/>
          <w:color w:val="000000"/>
          <w:sz w:val="22"/>
        </w:rPr>
        <w:t>means executed agreements with new customers, or existing customers providing for additional services and/or an increase in revenue, that have contracted with the Borrower and its Subsidiaries for which pricing and margins from the covered product categories are readily identified.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Non-Consenting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3.06(d)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Non-Extending Lender</w:t>
      </w:r>
      <w:r>
        <w:rPr>
          <w:rFonts w:ascii="Times New Roman" w:hAnsi="Times New Roman"/>
          <w:color w:val="000000"/>
          <w:sz w:val="20"/>
        </w:rPr>
        <w:t xml:space="preserve">” </w:t>
      </w:r>
      <w:r>
        <w:rPr>
          <w:rFonts w:ascii="Times New Roman" w:hAnsi="Times New Roman"/>
          <w:color w:val="000000"/>
          <w:sz w:val="22"/>
        </w:rPr>
        <w:t xml:space="preserve">means any Lender that elects not to participate in an Extension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Non-Loan Party</w:t>
      </w:r>
      <w:r>
        <w:rPr>
          <w:rFonts w:ascii="Times New Roman" w:hAnsi="Times New Roman"/>
          <w:color w:val="000000"/>
          <w:sz w:val="20"/>
        </w:rPr>
        <w:t xml:space="preserve">” </w:t>
      </w:r>
      <w:r>
        <w:rPr>
          <w:rFonts w:ascii="Times New Roman" w:hAnsi="Times New Roman"/>
          <w:color w:val="000000"/>
          <w:sz w:val="22"/>
        </w:rPr>
        <w:t>means any Restricted Subsidiary of the Borrower that is not a Loan Party.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Nonrenewal Notice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2.03(b)(iii)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Note</w:t>
      </w:r>
      <w:r>
        <w:rPr>
          <w:rFonts w:ascii="Times New Roman" w:hAnsi="Times New Roman"/>
          <w:color w:val="000000"/>
          <w:sz w:val="20"/>
        </w:rPr>
        <w:t xml:space="preserve">” </w:t>
      </w:r>
      <w:r>
        <w:rPr>
          <w:rFonts w:ascii="Times New Roman" w:hAnsi="Times New Roman"/>
          <w:color w:val="000000"/>
          <w:sz w:val="22"/>
        </w:rPr>
        <w:t>means a Term Note or a Revolving Credit Note as the context may require.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 xml:space="preserve">means (x) all advances to, and debts, liabilities, obligations, covenants and duties of, any Loan Party or other Subsidiary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other Subsidiary of any proceeding under any Debtor Relief Laws naming such Person as the debtor in such proceeding, regardless of whether such interest and fees are allowed claims in such proceeding, (y) obligations of any Loan Party or any other Restricted Subsidiary arising under any Secured Hedge Agreement (other than any Excluded Swap Obligations) for purposes of non-speculative interest rate hedging in the ordinary course of business for the purposes of managing interest rate risk and (z) Cash Management Obligations permitted by </w:t>
      </w:r>
      <w:r>
        <w:rPr>
          <w:rFonts w:ascii="Times New Roman" w:hAnsi="Times New Roman"/>
          <w:color w:val="000000"/>
          <w:sz w:val="22"/>
          <w:u w:val="single"/>
        </w:rPr>
        <w:t>Section 7.03(m)</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“Obligations” in respect of obligations under any Secured Hedge Agreement with a Hedge Bank listed under clause (ii) of the definition of “Hedge Bank” and (ii) the “Obligations” in respect of Cash Management Obligations with a Cash Management Bank listed under clause (ii) of the definition of “Cash Management Bank”, shall not exceed $5,000,000 in the aggregate. Without limiting the generality of the foregoing, the Obligations of the Loan Parties under the Loan Documents (and of any of their Subsidiaries to the extent they have obligations under the Loan Documents) include (a) the obligation (including guarantee obligations) to pay principal, interest, Letter of Credit commissions, reimbursement obligations, charges, expenses, fees, Attorney Costs, indemnities and other amounts, in each case, payable by any Loan Party or any other Subsidiary under any Loan Document and (b) the obligation of any Loan Party or any other Subsidiary to reimburse any amount in respect of any of the foregoing that any Lender, in its sole discretion, may elect to pay or advance on behalf of such Loan Party or such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Offered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2.05(d)(iii)</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Organization Documents</w:t>
      </w:r>
      <w:r>
        <w:rPr>
          <w:rFonts w:ascii="Times New Roman" w:hAnsi="Times New Roman"/>
          <w:color w:val="000000"/>
          <w:sz w:val="20"/>
        </w:rPr>
        <w:t xml:space="preserve">” </w:t>
      </w:r>
      <w:r>
        <w:rPr>
          <w:rFonts w:ascii="Times New Roman" w:hAnsi="Times New Roman"/>
          <w:color w:val="000000"/>
          <w:sz w:val="22"/>
        </w:rPr>
        <w:t>means (a) with respect to any corporation or company, the certificate or articles of incorporation or amalgamation, the memorandum and articles of association, any other constitutional documents, any certificates of change of name and/or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declaration,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Other Applicable Indebtedness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2.05(b)(ii)(A)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means all present or future stamp, court or documentary Taxes and any other intangible, mortgage recording or similar Taxes which arise from any payment made under any Loan Document or from the execution, delivery, performance, enforcement or registration of, or otherwise with respect to, any Loan Document, excluding, in each case, any such Tax resulting from an Assignment and Assumption or transfer or assignment to or designation of a new Applicable Lending Office or other office for receiving payments under any Loan Document (an “</w:t>
      </w:r>
      <w:r>
        <w:rPr>
          <w:rFonts w:ascii="Times New Roman" w:hAnsi="Times New Roman"/>
          <w:color w:val="000000"/>
          <w:sz w:val="22"/>
          <w:u w:val="single"/>
        </w:rPr>
        <w:t>Assignment Tax</w:t>
      </w:r>
      <w:r>
        <w:rPr>
          <w:rFonts w:ascii="Times New Roman" w:hAnsi="Times New Roman"/>
          <w:color w:val="000000"/>
          <w:sz w:val="20"/>
        </w:rPr>
        <w:t>”</w:t>
      </w:r>
      <w:r>
        <w:rPr>
          <w:rFonts w:ascii="Times New Roman" w:hAnsi="Times New Roman"/>
          <w:color w:val="000000"/>
          <w:sz w:val="22"/>
        </w:rPr>
        <w:t xml:space="preserve">) but only if (a) such Assignment Tax is imposed as a result of a present or former connection of the assignor or assignee with the jurisdiction imposing such Assignment Tax (other than any connection arising solely from any Loan Documents or any transactions contemplated thereby) and (b) such Assignment Tax does not arise as a result of an assignment (or designation of a new Applicable Lending Office) pursuant to a request by the Borrower under </w:t>
      </w:r>
      <w:r>
        <w:rPr>
          <w:rFonts w:ascii="Times New Roman" w:hAnsi="Times New Roman"/>
          <w:color w:val="000000"/>
          <w:sz w:val="22"/>
          <w:u w:val="single"/>
        </w:rPr>
        <w:t>Section 3.06</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Outstanding Amount</w:t>
      </w:r>
      <w:r>
        <w:rPr>
          <w:rFonts w:ascii="Times New Roman" w:hAnsi="Times New Roman"/>
          <w:color w:val="000000"/>
          <w:sz w:val="20"/>
        </w:rPr>
        <w:t xml:space="preserve">” </w:t>
      </w:r>
      <w:r>
        <w:rPr>
          <w:rFonts w:ascii="Times New Roman" w:hAnsi="Times New Roman"/>
          <w:color w:val="000000"/>
          <w:sz w:val="22"/>
        </w:rPr>
        <w:t>means (a) with respect to the Term Loans, Revolving Credit Loans and Swing Line Loans on any date, the Dollar amount of the aggregate outstanding principal amount thereof after giving effect to any borrowings and prepayments or repayments of Term Loans, Revolving Credit Loans (including any refinancing of outstanding Unreimbursed Amounts under Letters of Credit or L/C Credit Extensions as a Revolving Credit Borrowing) and Swing Line Loans, as the case may be, occurring on such date; and (b) with respect to any L/C Obligations on any date, the Dollar amount of the aggregate outstanding amount thereof on such date after giving effect to any related L/C Credit Extension occurring on such date and any other changes thereto as of such date, including as a result of any reimbursements of outstanding Unreimbursed Amounts under related Letters of Credit (including any refinancing of outstanding Unreimbursed Amounts under related Letters of Credit or related L/C Credit Extensions as a Revolving Credit Borrowing) or any reductions in the maximum amount available for drawing under related Letters of Credit taking effect on such date.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10.07(e)</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10.07(e)</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Payment Recipient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9.16(a)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Pension Plan</w:t>
      </w:r>
      <w:r>
        <w:rPr>
          <w:rFonts w:ascii="Times New Roman" w:hAnsi="Times New Roman"/>
          <w:color w:val="000000"/>
          <w:sz w:val="20"/>
        </w:rPr>
        <w:t xml:space="preserve">” </w:t>
      </w:r>
      <w:r>
        <w:rPr>
          <w:rFonts w:ascii="Times New Roman" w:hAnsi="Times New Roman"/>
          <w:color w:val="000000"/>
          <w:sz w:val="22"/>
        </w:rPr>
        <w:t>means any “employee pension benefit plan” (as such term is defined in Section 3(2) of ERISA) other than a Multiemployer Plan or a Foreign Plan, that is subject to Title IV of ERISA and in respect of which the Borrower or any ERISA Affiliate is (or, if such plan were terminated, would under Section 4069 of ERISA be deemed to be) an “employer” as defined in Section 3(5) of ERISA.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Acquisition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7.02(j)</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Debt Exchange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2.17(a)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Debt Exchange Notes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2.17(a)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Debt Exchange Offer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2.17(a)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Equity Issuance</w:t>
      </w:r>
      <w:r>
        <w:rPr>
          <w:rFonts w:ascii="Times New Roman" w:hAnsi="Times New Roman"/>
          <w:color w:val="000000"/>
          <w:sz w:val="20"/>
        </w:rPr>
        <w:t xml:space="preserve">” </w:t>
      </w:r>
      <w:r>
        <w:rPr>
          <w:rFonts w:ascii="Times New Roman" w:hAnsi="Times New Roman"/>
          <w:color w:val="000000"/>
          <w:sz w:val="22"/>
        </w:rPr>
        <w:t>means any sale or issuance of any Qualified Equity Interests other than a sale or issuance that would constitute an Excluded Contribution Amount.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Holders</w:t>
      </w:r>
      <w:r>
        <w:rPr>
          <w:rFonts w:ascii="Times New Roman" w:hAnsi="Times New Roman"/>
          <w:color w:val="000000"/>
          <w:sz w:val="20"/>
        </w:rPr>
        <w:t xml:space="preserve">” </w:t>
      </w:r>
      <w:r>
        <w:rPr>
          <w:rFonts w:ascii="Times New Roman" w:hAnsi="Times New Roman"/>
          <w:color w:val="000000"/>
          <w:sz w:val="22"/>
        </w:rPr>
        <w:t>means (a) each holder, directly or indirectly, of more than 2.50% of the equity of the Borrower as of the Closing Date, (b) the holders listed on Schedule A, (c) Affiliates of the foregoing, (d) the Permitted Transferees of the foregoing, (e) any trust for the benefit of the foregoing, (f) any estate of any of the foregoing and (f) the personal representatives of any Person specified in clauses (a) through (f) upon such Person’s death for the purposes of administration of such Person’s estate or upon such Person’s adjudicated incapacity for purposes of the protection and management of the assets of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 xml:space="preserve">means any Liens permitted by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Refinancing</w:t>
      </w:r>
      <w:r>
        <w:rPr>
          <w:rFonts w:ascii="Times New Roman" w:hAnsi="Times New Roman"/>
          <w:color w:val="000000"/>
          <w:sz w:val="20"/>
        </w:rPr>
        <w:t xml:space="preserve">” </w:t>
      </w:r>
      <w:r>
        <w:rPr>
          <w:rFonts w:ascii="Times New Roman" w:hAnsi="Times New Roman"/>
          <w:color w:val="000000"/>
          <w:sz w:val="22"/>
        </w:rPr>
        <w:t xml:space="preserve">means, with respect to any Person, any modification (other than a release of such Person), refinancing, refunding, renewal or extension of any Indebtedness of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amounts that would otherwise be permitted under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(with such amounts being deemed utilization of the applicable basket or exception under </w:t>
      </w:r>
      <w:r>
        <w:rPr>
          <w:rFonts w:ascii="Times New Roman" w:hAnsi="Times New Roman"/>
          <w:color w:val="000000"/>
          <w:sz w:val="22"/>
          <w:u w:val="single"/>
        </w:rPr>
        <w:t>Section 7.03</w:t>
      </w:r>
      <w:r>
        <w:rPr>
          <w:rFonts w:ascii="Times New Roman" w:hAnsi="Times New Roman"/>
          <w:color w:val="000000"/>
          <w:sz w:val="22"/>
        </w:rPr>
        <w:t xml:space="preserve">), plus other reasonable amounts paid, and fees and expenses reasonably incurred, in connection with such modification, refinancing, refunding, renewal or extension and by an amount equal to any existing commitments unutilized thereunder, and as otherwise permitted under </w:t>
      </w:r>
      <w:r>
        <w:rPr>
          <w:rFonts w:ascii="Times New Roman" w:hAnsi="Times New Roman"/>
          <w:color w:val="000000"/>
          <w:sz w:val="22"/>
          <w:u w:val="single"/>
        </w:rPr>
        <w:t>Section 7.03</w:t>
      </w:r>
      <w:r>
        <w:rPr>
          <w:rFonts w:ascii="Times New Roman" w:hAnsi="Times New Roman"/>
          <w:color w:val="000000"/>
          <w:sz w:val="22"/>
        </w:rPr>
        <w:t xml:space="preserve">, (b) other than with respect to a Permitted Refinancing in respect of Indebtedness permitted pursuant to </w:t>
      </w:r>
      <w:r>
        <w:rPr>
          <w:rFonts w:ascii="Times New Roman" w:hAnsi="Times New Roman"/>
          <w:color w:val="000000"/>
          <w:sz w:val="22"/>
          <w:u w:val="single"/>
        </w:rPr>
        <w:t>Section 7.03(f)</w:t>
      </w:r>
      <w:r>
        <w:rPr>
          <w:rFonts w:ascii="Times New Roman" w:hAnsi="Times New Roman"/>
          <w:color w:val="000000"/>
          <w:sz w:val="22"/>
        </w:rPr>
        <w:t>,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that, the foregoing requirements of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shall not apply to the extent such Indebtedness constitutes a customary bridge facility, so long as the long-term Indebtedness into which such customary bridge facility is to be converted or exchanged satisfies the requirements of this </w:t>
      </w:r>
      <w:r>
        <w:rPr>
          <w:rFonts w:ascii="Times New Roman" w:hAnsi="Times New Roman"/>
          <w:color w:val="000000"/>
          <w:sz w:val="22"/>
          <w:u w:val="single"/>
        </w:rPr>
        <w:t>clause (b)</w:t>
      </w:r>
      <w:r>
        <w:rPr>
          <w:rFonts w:ascii="Times New Roman" w:hAnsi="Times New Roman"/>
          <w:color w:val="000000"/>
          <w:sz w:val="22"/>
        </w:rPr>
        <w:t xml:space="preserve">), (c) to the extent such Indebtedness being so modified, refinanced, refunded, renewed or extended is secured by a Lien on the Collateral, the Lien securing such Indebtedness as modified, refinanced, refunded, renewed or extended shall not be senior in priority to the Lien on the Collateral securing the Indebtedness being modified, refinanced, refunded, renewed or extended unless such senior Lien is otherwise permitted under any basket or exception under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(with such amounts constituting utilization of the applicable basket or exception under </w:t>
      </w:r>
      <w:r>
        <w:rPr>
          <w:rFonts w:ascii="Times New Roman" w:hAnsi="Times New Roman"/>
          <w:color w:val="000000"/>
          <w:sz w:val="22"/>
          <w:u w:val="single"/>
        </w:rPr>
        <w:t>Section 7.01</w:t>
      </w:r>
      <w:r>
        <w:rPr>
          <w:rFonts w:ascii="Times New Roman" w:hAnsi="Times New Roman"/>
          <w:color w:val="000000"/>
          <w:sz w:val="22"/>
        </w:rPr>
        <w:t xml:space="preserve">) and (d) if such Indebtedness being modified, refinanced, refunded, renewed or extended is Indebtedness permitted pursuant to </w:t>
      </w:r>
      <w:r>
        <w:rPr>
          <w:rFonts w:ascii="Times New Roman" w:hAnsi="Times New Roman"/>
          <w:color w:val="000000"/>
          <w:sz w:val="22"/>
          <w:u w:val="single"/>
        </w:rPr>
        <w:t>Section 7.03(c)</w:t>
      </w:r>
      <w:r>
        <w:rPr>
          <w:rFonts w:ascii="Times New Roman" w:hAnsi="Times New Roman"/>
          <w:color w:val="000000"/>
          <w:sz w:val="22"/>
        </w:rPr>
        <w:t>, (i) to the extent such Indebtedness being so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so modified, refinanced, refunded, renewed or extended, (ii) the terms and conditions (including, if applicable, as to collateral but excluding as to subordination, interest rate and redemption premium) of any such modified, refinanced, refunded, renewed or extended Indebtedness, taken as a whole, are not materially less favorable to the Loan Parties or the Lenders than the terms and conditions of the Indebtedness being modified, refinanced, refunded, renewed or extended (other than in the case of terms applying to periods after the then Latest Maturity Date or otherwise added for the benefit of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Lenders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certificate of a Responsible Officer of the Borrower delivered to the Administrative Agent at least five (5)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reasonable description of the basis upon which it disagrees) and (iii) such modification, refinancing, refunding, renewal or extension is incurred by a Person who is the obligor of the Indebtedness being so modified, refinanced, refunded, renewed or extended or a Loan Party.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Sale Leaseback</w:t>
      </w:r>
      <w:r>
        <w:rPr>
          <w:rFonts w:ascii="Times New Roman" w:hAnsi="Times New Roman"/>
          <w:color w:val="000000"/>
          <w:sz w:val="20"/>
        </w:rPr>
        <w:t xml:space="preserve">” </w:t>
      </w:r>
      <w:r>
        <w:rPr>
          <w:rFonts w:ascii="Times New Roman" w:hAnsi="Times New Roman"/>
          <w:color w:val="000000"/>
          <w:sz w:val="22"/>
        </w:rPr>
        <w:t xml:space="preserve">means any Sale Leaseback consummated by the Borrower or any of its Restricted Subsidiaries after the Closing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Sale Leaseback that is not between (a) a Loan Party and another Loan Party or (b) a Restricted Subsidiary that is not a Loan Party and another Restricted Subsidiary that is not a Loan Party must be, in each case, consummated for fair value as determined at the time of consummation in good faith by (i) the Borrower or the applicable Restricted Subsidiary and (ii) in the case of any Sale Leaseback (or series of related Sales Leasebacks) the aggregate proceeds of which exceeds $10,000,000, the board of managers or directors, as applicable,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Tax Distribution</w:t>
      </w:r>
      <w:r>
        <w:rPr>
          <w:rFonts w:ascii="Times New Roman" w:hAnsi="Times New Roman"/>
          <w:color w:val="000000"/>
          <w:sz w:val="20"/>
        </w:rPr>
        <w:t xml:space="preserve">” </w:t>
      </w:r>
      <w:r>
        <w:rPr>
          <w:rFonts w:ascii="Times New Roman" w:hAnsi="Times New Roman"/>
          <w:color w:val="000000"/>
          <w:sz w:val="22"/>
        </w:rPr>
        <w:t>means, if and for so long as the Borrower is a member of a group filing a consolidated, affiliated, unitary or similar tax return with any parent entity that is the parent of such group of which the Borrower is a member or, if the Borrower is a disregarded entity for U.S. federal income tax purposes, of which the Borrower’s sole corporate owner is a member (“</w:t>
      </w:r>
      <w:r>
        <w:rPr>
          <w:rFonts w:ascii="Times New Roman" w:hAnsi="Times New Roman"/>
          <w:color w:val="000000"/>
          <w:sz w:val="22"/>
          <w:u w:val="single"/>
        </w:rPr>
        <w:t>Tax Group</w:t>
      </w:r>
      <w:r>
        <w:rPr>
          <w:rFonts w:ascii="Times New Roman" w:hAnsi="Times New Roman"/>
          <w:color w:val="000000"/>
          <w:sz w:val="20"/>
        </w:rPr>
        <w:t>”</w:t>
      </w:r>
      <w:r>
        <w:rPr>
          <w:rFonts w:ascii="Times New Roman" w:hAnsi="Times New Roman"/>
          <w:color w:val="000000"/>
          <w:sz w:val="22"/>
        </w:rPr>
        <w:t xml:space="preserve">), any dividends or other distributions to pay the consolidated, affiliated, unitary or similar type of income or similar Tax liabilities of such direct or indirect parent, to the extent such payments or distributions cover income Taxes that are attributable to the taxable income of the Borrower and its Subsidiaries, which amount shall not exceed the amount of such income Taxes that would have been payable by the Borrower and its Subsidiaries with respect to such taxable period had they been taxed as a standalone corporate entity or a standalone consolidated, affiliated, unitary or similar group of corporations, net of any payments already made by the Borrower or such Subsidiaries for such Tax Group Taxes;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Unrestricted Subsidiaries, payments or distributions will be permitted solely with respect to amounts actually distributed or paid by such Unrestricted Subsidiaries to the Borrower or its Restricted Subsidiaries for the purpose of paying such consolidated, affiliated, unitary, or similar type of income or similar Tax liabilities.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Tax Restructuring</w:t>
      </w:r>
      <w:r>
        <w:rPr>
          <w:rFonts w:ascii="Times New Roman" w:hAnsi="Times New Roman"/>
          <w:color w:val="000000"/>
          <w:sz w:val="20"/>
        </w:rPr>
        <w:t xml:space="preserve">” </w:t>
      </w:r>
      <w:r>
        <w:rPr>
          <w:rFonts w:ascii="Times New Roman" w:hAnsi="Times New Roman"/>
          <w:color w:val="000000"/>
          <w:sz w:val="22"/>
        </w:rPr>
        <w:t xml:space="preserve">means, subject to the written consent of the Administrative Agent (not to be unreasonably withheld, delayed or conditioned) any reorganizations and other activities related to tax planning and tax reorganization (as determined by the Borrower in good faith) entered into on or after the date hereof so long as such Permitted Tax Restructuring (i) does not impair the security interests of the Lenders and (ii) is otherwise not adverse to the Lenders, in each case, in any material respect and after giving effect to such Permitted Tax Restructuring, the Borrower and its Restricted Subsidiaries otherwise comply with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Permitted Transferee</w:t>
      </w:r>
      <w:r>
        <w:rPr>
          <w:rFonts w:ascii="Times New Roman" w:hAnsi="Times New Roman"/>
          <w:color w:val="000000"/>
          <w:sz w:val="20"/>
        </w:rPr>
        <w:t xml:space="preserve">” </w:t>
      </w:r>
      <w:r>
        <w:rPr>
          <w:rFonts w:ascii="Times New Roman" w:hAnsi="Times New Roman"/>
          <w:color w:val="000000"/>
          <w:sz w:val="22"/>
        </w:rPr>
        <w:t>means, with respect to any Person that is a natural person (and any Permitted Transferee of such Person), (x) such Person’s immediate family, including his or her spouse, ex-spouse, children, stepchildren and their respective lineal descendants and (y) any trust or other legal entity (including, through the conversion of any limited liability company into a series limited liability company) the indirect or direct beneficiary of which is such Person’s immediate family, including his or her spouse,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ex-spouse, children, stepchildren or their respective lineal descendants and which is controlled by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Personal Data</w:t>
      </w:r>
      <w:r>
        <w:rPr>
          <w:rFonts w:ascii="Times New Roman" w:hAnsi="Times New Roman"/>
          <w:color w:val="000000"/>
          <w:sz w:val="20"/>
        </w:rPr>
        <w:t xml:space="preserve">” </w:t>
      </w:r>
      <w:r>
        <w:rPr>
          <w:rFonts w:ascii="Times New Roman" w:hAnsi="Times New Roman"/>
          <w:color w:val="000000"/>
          <w:sz w:val="22"/>
        </w:rPr>
        <w:t>means all data that identifies an individual or, in combination with any other information or data available to the Loan Parties or any of their Restricted Subsidiaries, is capable of identifying or locating an individual.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Platform</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Post-Acquisition Period</w:t>
      </w:r>
      <w:r>
        <w:rPr>
          <w:rFonts w:ascii="Times New Roman" w:hAnsi="Times New Roman"/>
          <w:color w:val="000000"/>
          <w:sz w:val="20"/>
        </w:rPr>
        <w:t xml:space="preserve">” </w:t>
      </w:r>
      <w:r>
        <w:rPr>
          <w:rFonts w:ascii="Times New Roman" w:hAnsi="Times New Roman"/>
          <w:color w:val="000000"/>
          <w:sz w:val="22"/>
        </w:rPr>
        <w:t>means, with respect to any Permitted Acquisition or the conversion of any Unrestricted Subsidiary into a Restricted Subsidiary, the period beginning on the date such Permitted Acquisition or conversion is consummated and ending on the last day of the fourth full consecutive fiscal quarter immediately following the date on which such Permitted Acquisition or conversion is consummated.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Privacy and Information Security Requirements</w:t>
      </w:r>
      <w:r>
        <w:rPr>
          <w:rFonts w:ascii="Times New Roman" w:hAnsi="Times New Roman"/>
          <w:color w:val="000000"/>
          <w:sz w:val="20"/>
        </w:rPr>
        <w:t xml:space="preserve">” </w:t>
      </w:r>
      <w:r>
        <w:rPr>
          <w:rFonts w:ascii="Times New Roman" w:hAnsi="Times New Roman"/>
          <w:color w:val="000000"/>
          <w:sz w:val="22"/>
        </w:rPr>
        <w:t>means (i) all Laws relating to the Processing of Personal Data, data privacy or information security, and (ii) the Payment Card Information Data Security Standards.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Privacy Notices</w:t>
      </w:r>
      <w:r>
        <w:rPr>
          <w:rFonts w:ascii="Times New Roman" w:hAnsi="Times New Roman"/>
          <w:color w:val="000000"/>
          <w:sz w:val="20"/>
        </w:rPr>
        <w:t xml:space="preserve">” </w:t>
      </w:r>
      <w:r>
        <w:rPr>
          <w:rFonts w:ascii="Times New Roman" w:hAnsi="Times New Roman"/>
          <w:color w:val="000000"/>
          <w:sz w:val="22"/>
        </w:rPr>
        <w:t>means any internal or external notices, policies, disclosures, or public representations by any Loan Party in respect of such Loan Party’s Processing of Personal Data or privacy practices.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 Forma Adjustment</w:t>
      </w:r>
      <w:r>
        <w:rPr>
          <w:rFonts w:ascii="Times New Roman" w:hAnsi="Times New Roman"/>
          <w:color w:val="000000"/>
          <w:sz w:val="20"/>
        </w:rPr>
        <w:t xml:space="preserve">” </w:t>
      </w:r>
      <w:r>
        <w:rPr>
          <w:rFonts w:ascii="Times New Roman" w:hAnsi="Times New Roman"/>
          <w:color w:val="000000"/>
          <w:sz w:val="22"/>
        </w:rPr>
        <w:t xml:space="preserve">means, for any Test Period that includes all or any part of a fiscal quarter included in any Post-Acquisition Period, with respect to the Acquired EBITDA of the applicable Acquired Entity or Business or Converted Restricted Subsidiary or the Consolidated EBITDA of the Borrower, (a) the pro forma increase or decrease in such Acquired EBITDA or such Consolidated EBITDA, as the case may be, that is factually supportable and is expected to have a continuing impact, in each case (x) as determined on a basis consistent with Article 11 of Regulation S-X of the Securities Act, as in effect prior to January 1, 2021 and as interpreted by the Securities and Exchange Commission or (y) arising in connection with the Transactions and (b) additional good faith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adjustments arising out of cost savings initiatives attributable to such transaction and additional costs associated with the combination of the operations of such Acquired Entity or Business or Converted Restricted Subsidiary with the operations of the Borrower and its Restricted Subsidiaries, in each case being given pro forma effect, that (i) have been realized or (ii) will be implemented following such transaction are reasonably identifiable, supportable and quantifiable, reasonably attributable to the actions specified and reasonably anticipated to result from such actions and expected to be realized within the succeeding eighteen (18) months and, in each case, including, but not limited to, (w) reduction in personnel expenses, (x) reduction of costs related to administrative functions, (y) reductions of costs related to leased or owned properties and (z) reductions from the consolidation of operations and streamlining of corporate overhead taking into account, for purposes of determining such compliance, the historical financial statements of the Acquired Entity or Business or Converted Restricted Subsidiary and the consolidated financial statements of the Borrower and its Subsidiaries, assuming such Permitted Acquisition or conversion, and all other Permitted Acquisitions or conversions that have been consummated during the period, and any Indebtedness or other liabilities repaid in connection therewith had been consummated and incurred or repaid at the beginning of such period (and assuming that such Indebtedness to be incurred bears interest during any portion of the applicable measurement period prior to the relevant acquisition at the interest rate which is or would be in effect with respect to such Indebtedness as at the relevant date of determination);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so long as such actions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are initiated during such Post-Acquisition Period or such costs are incurred during such Post-Acquisition Period, as applicable, for purposes of projecting such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increase or decrease to such Acquired EBITDA or such Consolidated EBITDA, as the case may be, it may be assumed that such cost savings will be realizable during the entirety of such Test Period, or such additional costs, as applicable, will be incurred during the entirety of such Test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any adjustments made pursuant to this </w:t>
      </w:r>
      <w:r>
        <w:rPr>
          <w:rFonts w:ascii="Times New Roman" w:hAnsi="Times New Roman"/>
          <w:color w:val="000000"/>
          <w:sz w:val="22"/>
          <w:u w:val="single"/>
        </w:rPr>
        <w:t>clause (b)(ii)</w:t>
      </w:r>
      <w:r>
        <w:rPr>
          <w:rFonts w:ascii="Times New Roman" w:hAnsi="Times New Roman"/>
          <w:color w:val="000000"/>
          <w:sz w:val="20"/>
        </w:rPr>
        <w:t xml:space="preserve"> </w:t>
      </w:r>
      <w:r>
        <w:rPr>
          <w:rFonts w:ascii="Times New Roman" w:hAnsi="Times New Roman"/>
          <w:color w:val="000000"/>
          <w:sz w:val="22"/>
        </w:rPr>
        <w:t xml:space="preserve">for an applicable measurement period, combined with the aggregate amount of adjustments for such measurement period pursuant to </w:t>
      </w:r>
      <w:r>
        <w:rPr>
          <w:rFonts w:ascii="Times New Roman" w:hAnsi="Times New Roman"/>
          <w:color w:val="000000"/>
          <w:sz w:val="22"/>
          <w:u w:val="single"/>
        </w:rPr>
        <w:t>clauses (a)(v)</w:t>
      </w:r>
      <w:r>
        <w:rPr>
          <w:rFonts w:ascii="Times New Roman" w:hAnsi="Times New Roman"/>
          <w:color w:val="000000"/>
          <w:sz w:val="22"/>
        </w:rPr>
        <w:t xml:space="preserve">, </w:t>
      </w:r>
      <w:r>
        <w:rPr>
          <w:rFonts w:ascii="Times New Roman" w:hAnsi="Times New Roman"/>
          <w:color w:val="000000"/>
          <w:sz w:val="22"/>
          <w:u w:val="single"/>
        </w:rPr>
        <w:t>(a)(viii)</w:t>
      </w:r>
      <w:r>
        <w:rPr>
          <w:rFonts w:ascii="Times New Roman" w:hAnsi="Times New Roman"/>
          <w:color w:val="000000"/>
          <w:sz w:val="22"/>
        </w:rPr>
        <w:t xml:space="preserve">, </w:t>
      </w:r>
      <w:r>
        <w:rPr>
          <w:rFonts w:ascii="Times New Roman" w:hAnsi="Times New Roman"/>
          <w:color w:val="000000"/>
          <w:sz w:val="22"/>
          <w:u w:val="single"/>
        </w:rPr>
        <w:t>(a)(xvi)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(a)(xviii)</w:t>
      </w:r>
      <w:r>
        <w:rPr>
          <w:rFonts w:ascii="Times New Roman" w:hAnsi="Times New Roman"/>
          <w:color w:val="000000"/>
          <w:sz w:val="20"/>
        </w:rPr>
        <w:t xml:space="preserve"> </w:t>
      </w:r>
      <w:r>
        <w:rPr>
          <w:rFonts w:ascii="Times New Roman" w:hAnsi="Times New Roman"/>
          <w:color w:val="000000"/>
          <w:sz w:val="22"/>
        </w:rPr>
        <w:t>(with respect to cash items) of the definition of “Consolidated EBITDA”, shall not exceed 30% of Consolidated EBITDA for such measurement period (calculated before giving effect to such adjustments).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 Forma Balance Sheet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5.05(a)(ii)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 Forma Basis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Pro Forma Effect</w:t>
      </w:r>
      <w:r>
        <w:rPr>
          <w:rFonts w:ascii="Times New Roman" w:hAnsi="Times New Roman"/>
          <w:color w:val="000000"/>
          <w:sz w:val="20"/>
        </w:rPr>
        <w:t xml:space="preserve">” </w:t>
      </w:r>
      <w:r>
        <w:rPr>
          <w:rFonts w:ascii="Times New Roman" w:hAnsi="Times New Roman"/>
          <w:color w:val="000000"/>
          <w:sz w:val="22"/>
        </w:rPr>
        <w:t xml:space="preserve">mean, with respect to compliance with any test hereunder for an applicable period of measurement, that (A) to the extent applicable, the Pro Forma Adjustment shall have been made and (B) all Specified Transactions and the following transactions in connection therewith shall be deemed to have occurred as of the 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of all or substantially all Equity Interests in any Restricted Subsidiary of the Borrower or any division, product line, or facility used for operations of the Borrower or any of its Restricted Subsidiaries, shall be excluded, and (ii) in the case of a Permitted Acquisition or Investment described in the definition of “Specified Transaction,” shall be included, (b) any retirement of Indebtedness, and (c) any Indebtedness incurred or assumed by the Borrower or any of its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without limiting the application of the Pro Forma Adjustment pursuant to clause (A) 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 (x) directly attributable to such transaction, (y) expected to have a continuing impact on the Borrower or its Restricted Subsidiaries and (z) factually supportable or (ii) otherwise consistent with the definition of Pro Forma Adjustment.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Process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Processing</w:t>
      </w:r>
      <w:r>
        <w:rPr>
          <w:rFonts w:ascii="Times New Roman" w:hAnsi="Times New Roman"/>
          <w:color w:val="000000"/>
          <w:sz w:val="20"/>
        </w:rPr>
        <w:t xml:space="preserve">” </w:t>
      </w:r>
      <w:r>
        <w:rPr>
          <w:rFonts w:ascii="Times New Roman" w:hAnsi="Times New Roman"/>
          <w:color w:val="000000"/>
          <w:sz w:val="22"/>
        </w:rPr>
        <w:t>shall mean the collection, use, storage, transfer, export, protection (including security measures), or disclosure or other activity regarding data (whether electronically or in any other form or medium).</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Proposed Discounted Prepayment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Public Company Costs</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the term “Consolidated EBITDA”.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Public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6.01</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10.27(b)</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QFC Credit Support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10.27(a)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Qualified Equity Interests</w:t>
      </w:r>
      <w:r>
        <w:rPr>
          <w:rFonts w:ascii="Times New Roman" w:hAnsi="Times New Roman"/>
          <w:color w:val="000000"/>
          <w:sz w:val="20"/>
        </w:rPr>
        <w:t xml:space="preserve">” </w:t>
      </w:r>
      <w:r>
        <w:rPr>
          <w:rFonts w:ascii="Times New Roman" w:hAnsi="Times New Roman"/>
          <w:color w:val="000000"/>
          <w:sz w:val="22"/>
        </w:rPr>
        <w:t>means any Equity Interests of the Borrower (or any direct or indirect parent of the Borrower), in each case, that are not Disqualified Equity Interests.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Qualifying IPO</w:t>
      </w:r>
      <w:r>
        <w:rPr>
          <w:rFonts w:ascii="Times New Roman" w:hAnsi="Times New Roman"/>
          <w:color w:val="000000"/>
          <w:sz w:val="20"/>
        </w:rPr>
        <w:t xml:space="preserve">” </w:t>
      </w:r>
      <w:r>
        <w:rPr>
          <w:rFonts w:ascii="Times New Roman" w:hAnsi="Times New Roman"/>
          <w:color w:val="000000"/>
          <w:sz w:val="22"/>
        </w:rPr>
        <w:t>means any transaction or series of transactions that results in any of the common Equity Interests of the Borrower any direct or indirect parent company of the Borrower being publicly traded on any United States national securities exchange or over-the-counter market, or any analogous exchange or any recognized securities exchange in Canada, the United Kingdom or any country of the European Union.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Qualifying Lenders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2.05(d)(iv)</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Qualifying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2.05(d)(iv)</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means the Administrative Agent or any Lender, as applicable.</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Refinancing Revolving Commitments</w:t>
      </w:r>
      <w:r>
        <w:rPr>
          <w:rFonts w:ascii="Times New Roman" w:hAnsi="Times New Roman"/>
          <w:color w:val="000000"/>
          <w:sz w:val="20"/>
        </w:rPr>
        <w:t xml:space="preserve">” </w:t>
      </w:r>
      <w:r>
        <w:rPr>
          <w:rFonts w:ascii="Times New Roman" w:hAnsi="Times New Roman"/>
          <w:color w:val="000000"/>
          <w:sz w:val="22"/>
        </w:rPr>
        <w:t xml:space="preserve">means Incremental Revolving Commitments that are designated by a Responsible Officer of the Company as “Refinancing Revolving Commitments” in a certificate of a Responsible Officer of the Company delivered to the Administrative Agent on or prior to the date of incurrence;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any Refinancing Revolving Commitments shall not be in an aggregate amount that exceeds the amount of Revolving Commitments so refinanced, except to the extent a different incurrence basket pursuant to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is utilized plus an amount equal to any fees, expenses, commissions, underwriting discounts and premiums payable in connection with such Refinancing Revolving Commitments, (ii) any Refinancing Revolving Commitments do not mature prior to the maturity date of the Revolving Commitments being refinanced, (iii) such Refinancing Revolving Commitments have the same guarantors as the Revolving Commitments being refinanced, (iv) to the extent such Refinancing Revolving Commitments are secured, they are not secured by any assets not constituting Collateral and on a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or junior basis to the Obligations, and subject to an Acceptable Intercreditor Agreement, (v) the terms and conditions of such Refinancing Revolving Commitments (excluding pricing and optional prepayment or redemption terms or covenants or other provisions applicable only to periods after the Maturity Date of the Loans or Commitments being refinanced) taken as a whole, shall not be materially more favorable to (as determined by the Borrower in good faith), taken as a whole, to the lenders or noteholders providing such Refinancing Revolving Commitments than those applicable to the then existing Revolving Commitments and (vi) if such Refinancing Revolving Commitments contain any financial maintenance covenants, such covenants shall be added for the benefit of the Revolving Credit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Refinancing Term Loans</w:t>
      </w:r>
      <w:r>
        <w:rPr>
          <w:rFonts w:ascii="Times New Roman" w:hAnsi="Times New Roman"/>
          <w:color w:val="000000"/>
          <w:sz w:val="20"/>
        </w:rPr>
        <w:t xml:space="preserve">” </w:t>
      </w:r>
      <w:r>
        <w:rPr>
          <w:rFonts w:ascii="Times New Roman" w:hAnsi="Times New Roman"/>
          <w:color w:val="000000"/>
          <w:sz w:val="22"/>
        </w:rPr>
        <w:t xml:space="preserve">means Incremental Term Loans under this Agreement and/or Incremental Equivalent Debt that are designated by a Responsible Officer of the Borrower as “Refinancing Term Loans” in a certificate of a Responsible Officer of the Borrower delivered to the Administrative Agent on or prior to the date of incurrence;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any Refinancing Term Loans shall not be in a principal amount that exceeds the amount of Term Loans so refinanced, except to the extent a different incurrence basket pursuant to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is utilized plus an amount equal to any fees, expenses, commissions, underwriting discounts and premiums payable in connection with such Refinancing Term Loans, (ii) to the extent applicable, an Acceptable Intercreditor Agreement is entered into, (iii) any Refinancing Term Loans do not mature prior to the maturity date of or have a shorter Weighted Average Life to Maturity prior to the Terms Loans being refinanced, other than with respect to any customary bridge facilities so long as the long-term Indebtedness into which any such customary bridge facility is to be converted satisfies such limitations, (iv) such Refinancing Term Loans have the same guarantors as the Term Loans being refinanced, (v) to the extent such Refinancing Term Loans are secured, they are not secured by any assets not constituting Collateral and on a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or junior basis to the Obligations, and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an Acceptable Intercreditor Agreement, (vi) the terms and conditions of such Refinancing Term Loans (excluding pricing and optional prepayment or redemption terms or covenants or other provisions applicable only to periods after the maturity of the Loans or Commitments being refinanced) taken as a whole, shall not be material more favorable to (as determined by the Borrower in good faith), taken as a whole, to the lenders or noteholders providing such Refinancing Term Loans than those applicable to the then existing Term Loans and (vii) if such Refinancing Term Loans contain any financial maintenance covenants, such covenants shall be added for the benefit of the Term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Reference Time</w:t>
      </w:r>
      <w:r>
        <w:rPr>
          <w:rFonts w:ascii="Times New Roman" w:hAnsi="Times New Roman"/>
          <w:color w:val="000000"/>
          <w:sz w:val="20"/>
        </w:rPr>
        <w:t xml:space="preserve">” </w:t>
      </w:r>
      <w:r>
        <w:rPr>
          <w:rFonts w:ascii="Times New Roman" w:hAnsi="Times New Roman"/>
          <w:color w:val="000000"/>
          <w:sz w:val="22"/>
        </w:rPr>
        <w:t>with respect to any setting of the then-current Benchmark means (1) if such Benchmark is Term SOFR, 1:00 p.m. on the day that is two U.S. Government Securities Business Days preceding the date of such setting or (2) if such Benchmark is not Term SOFR, the time determined by the Administrative Agent in its reasonable discretion.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Rejection Notice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2.05(b)(vi)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Release</w:t>
      </w:r>
      <w:r>
        <w:rPr>
          <w:rFonts w:ascii="Times New Roman" w:hAnsi="Times New Roman"/>
          <w:color w:val="000000"/>
          <w:sz w:val="20"/>
        </w:rPr>
        <w:t xml:space="preserve">” </w:t>
      </w:r>
      <w:r>
        <w:rPr>
          <w:rFonts w:ascii="Times New Roman" w:hAnsi="Times New Roman"/>
          <w:color w:val="000000"/>
          <w:sz w:val="22"/>
        </w:rPr>
        <w:t>means any release, spill, emission, discharge, deposit, disposal, leaking, pumping, pouring, dumping, emptying, injection, migration or leaching on, into or through the Environment or into, from or through any building, structure or facility.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means the Federal Reserve Board and/or the NYFRB, the CME Term SOFR Administrator, as applicable, or a committee officially endorsed or convened by the Federal Reserve Board and/or the NYFRB or, in each case, any successor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Reportable Event</w:t>
      </w:r>
      <w:r>
        <w:rPr>
          <w:rFonts w:ascii="Times New Roman" w:hAnsi="Times New Roman"/>
          <w:color w:val="000000"/>
          <w:sz w:val="20"/>
        </w:rPr>
        <w:t xml:space="preserve">” </w:t>
      </w:r>
      <w:r>
        <w:rPr>
          <w:rFonts w:ascii="Times New Roman" w:hAnsi="Times New Roman"/>
          <w:color w:val="000000"/>
          <w:sz w:val="22"/>
        </w:rPr>
        <w:t>means any of the events set forth in Section 4043(c) of ERISA or the regulations issued thereunder, other than events for which the thirty (30) day notice period has been waived.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Request for Credit Extension</w:t>
      </w:r>
      <w:r>
        <w:rPr>
          <w:rFonts w:ascii="Times New Roman" w:hAnsi="Times New Roman"/>
          <w:color w:val="000000"/>
          <w:sz w:val="20"/>
        </w:rPr>
        <w:t xml:space="preserve">” </w:t>
      </w:r>
      <w:r>
        <w:rPr>
          <w:rFonts w:ascii="Times New Roman" w:hAnsi="Times New Roman"/>
          <w:color w:val="000000"/>
          <w:sz w:val="22"/>
        </w:rPr>
        <w:t>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 xml:space="preserve">means, as of any date of determination, Lenders having more than 50.0% of the sum of the (a) Total Outstandings (with the aggregate outstanding amount of each Lender’s risk participation and funded participation in L/C Obligations and Swing Line Loans being deemed “held” by such Lender for purposes of this definition), (b) aggregate unused Term Commitments and (c) aggregate unused Revolving Credit Commitments;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unused Term Commitment and unused Revolving Credit Commitment of, and the portion of the Total Outstandings held or deemed held by any Defaulting Lender shall be excluded for purposes of making a determination of Required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at any time there are two or more Lenders that are not Affiliates or related funds of one another, then “Required Lenders” shall include at least two of such Lenders.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Required Revolving Credit Lenders</w:t>
      </w:r>
      <w:r>
        <w:rPr>
          <w:rFonts w:ascii="Times New Roman" w:hAnsi="Times New Roman"/>
          <w:color w:val="000000"/>
          <w:sz w:val="20"/>
        </w:rPr>
        <w:t xml:space="preserve">” </w:t>
      </w:r>
      <w:r>
        <w:rPr>
          <w:rFonts w:ascii="Times New Roman" w:hAnsi="Times New Roman"/>
          <w:color w:val="000000"/>
          <w:sz w:val="22"/>
        </w:rPr>
        <w:t xml:space="preserve">means, as of any date of determination, Lenders having more than 50.0% in the aggregate of (a) the Revolving Credit Commitments or (b) after the termination of the Revolving Credit Commitments, the Revolving Credit Exposure;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Revolving Credit Commitment and the Revolving Credit Exposure of any Defaulting Lender shall be excluded for the purposes of making a determination of Required Revolving Credit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at any time there are two or more Revolving Credit Lenders that are not Affiliates or related funds of one another, then “Required Revolving Credit Lenders” shall include at least two of such Revolving Credit Lenders.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 xml:space="preserve">means the chief executive officer, president, vice president, chief financial officer, chief accounting officer, controller, secretary, assistant secretary, treasurer, assistant treasurer, or other similar officer or director of a Loan Party and, as to any document delivered on the Closing Date, any secretary or assistant secretary of a Loan Party and, solely for purposes of notices given pursuant to </w:t>
      </w:r>
      <w:r>
        <w:rPr>
          <w:rFonts w:ascii="Times New Roman" w:hAnsi="Times New Roman"/>
          <w:color w:val="000000"/>
          <w:sz w:val="22"/>
          <w:u w:val="single"/>
        </w:rPr>
        <w:t>Article II</w:t>
      </w:r>
      <w:r>
        <w:rPr>
          <w:rFonts w:ascii="Times New Roman" w:hAnsi="Times New Roman"/>
          <w:color w:val="000000"/>
          <w:sz w:val="22"/>
        </w:rPr>
        <w:t>, any other officer of the applicable Loan Party so designated by any of the foregoing officers.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Casualty Event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2.05(b)(viii)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Disposition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2.05(b)(viii)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Payment</w:t>
      </w:r>
      <w:r>
        <w:rPr>
          <w:rFonts w:ascii="Times New Roman" w:hAnsi="Times New Roman"/>
          <w:color w:val="000000"/>
          <w:sz w:val="20"/>
        </w:rPr>
        <w:t xml:space="preserve">” </w:t>
      </w:r>
      <w:r>
        <w:rPr>
          <w:rFonts w:ascii="Times New Roman" w:hAnsi="Times New Roman"/>
          <w:color w:val="000000"/>
          <w:sz w:val="22"/>
        </w:rPr>
        <w:t>means any dividend or other distribution (whether in cash, securities or other property) with respect to any Equity Interest in the Borrower or any Restricted Subsidiary,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Restricted Subsidiary</w:t>
      </w:r>
      <w:r>
        <w:rPr>
          <w:rFonts w:ascii="Times New Roman" w:hAnsi="Times New Roman"/>
          <w:color w:val="000000"/>
          <w:sz w:val="20"/>
        </w:rPr>
        <w:t xml:space="preserve">” </w:t>
      </w:r>
      <w:r>
        <w:rPr>
          <w:rFonts w:ascii="Times New Roman" w:hAnsi="Times New Roman"/>
          <w:color w:val="000000"/>
          <w:sz w:val="22"/>
        </w:rPr>
        <w:t>means any Subsidiary of the Borrower other than an Unrestricted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Retained Declined Proceeds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2.05(b)(vi)</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Borrowing</w:t>
      </w:r>
      <w:r>
        <w:rPr>
          <w:rFonts w:ascii="Times New Roman" w:hAnsi="Times New Roman"/>
          <w:color w:val="000000"/>
          <w:sz w:val="20"/>
        </w:rPr>
        <w:t xml:space="preserve">” </w:t>
      </w:r>
      <w:r>
        <w:rPr>
          <w:rFonts w:ascii="Times New Roman" w:hAnsi="Times New Roman"/>
          <w:color w:val="000000"/>
          <w:sz w:val="22"/>
        </w:rPr>
        <w:t xml:space="preserve">means a borrowing consisting of Revolving Credit Loans of the same Class and Type, made, converted or continued on the same date and, in the case of SOFR Loans, having the same Interest Period made by each of the Revolving Credit Lenders pursuant to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Commitment</w:t>
      </w:r>
      <w:r>
        <w:rPr>
          <w:rFonts w:ascii="Times New Roman" w:hAnsi="Times New Roman"/>
          <w:color w:val="000000"/>
          <w:sz w:val="20"/>
        </w:rPr>
        <w:t xml:space="preserve">” </w:t>
      </w:r>
      <w:r>
        <w:rPr>
          <w:rFonts w:ascii="Times New Roman" w:hAnsi="Times New Roman"/>
          <w:color w:val="000000"/>
          <w:sz w:val="22"/>
        </w:rPr>
        <w:t xml:space="preserve">means, as to each Revolving Credit Lender, its obligation to (a) make Revolving Credit Loans to the Borrower pursuant to </w:t>
      </w:r>
      <w:r>
        <w:rPr>
          <w:rFonts w:ascii="Times New Roman" w:hAnsi="Times New Roman"/>
          <w:color w:val="000000"/>
          <w:sz w:val="22"/>
          <w:u w:val="single"/>
        </w:rPr>
        <w:t>Section 2.01(b)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2.03</w:t>
      </w:r>
      <w:r>
        <w:rPr>
          <w:rFonts w:ascii="Times New Roman" w:hAnsi="Times New Roman"/>
          <w:color w:val="000000"/>
          <w:sz w:val="22"/>
        </w:rPr>
        <w:t xml:space="preserve">, as applicable, (b) purchase participations in L/C Obligations in respect of Letters of Credit and (c) purchase participations in Swing Line Loans, in an aggregate principal amount at any one time outstanding not to exceed the amount set forth opposite such Lender’s name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under the caption “Revolving Credit Commitment” or in the Assignment and Assumption pursuant to which such Lender becomes a party hereto, as applicable, as such amount may be adjusted from time to time in accordance with this Agreement. The aggregate Revolving Credit Commitments of all Revolving Credit Lenders is $250,000,000 as of the Second Amendment Effective Date, as such amount may be adjusted from time to time in accordance with the terms of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means, as to each Revolving Credit Lender at any time, the sum of (a) the outstanding principal amount of all Revolving Credit Loans held by such Revolving Credit Lender (or its Applicable Lending Office), (b) such Revolving Credit Lender’s Applicable Percentage of the L/C Obligations and (c) such Revolving Credit Lender’s Applicable Percentage of the Swing Line Obligations.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Facility</w:t>
      </w:r>
      <w:r>
        <w:rPr>
          <w:rFonts w:ascii="Times New Roman" w:hAnsi="Times New Roman"/>
          <w:color w:val="000000"/>
          <w:sz w:val="20"/>
        </w:rPr>
        <w:t xml:space="preserve">” </w:t>
      </w:r>
      <w:r>
        <w:rPr>
          <w:rFonts w:ascii="Times New Roman" w:hAnsi="Times New Roman"/>
          <w:color w:val="000000"/>
          <w:sz w:val="22"/>
        </w:rPr>
        <w:t>has the meaning specified in the Preliminary Statements to this Agreement.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Lender</w:t>
      </w:r>
      <w:r>
        <w:rPr>
          <w:rFonts w:ascii="Times New Roman" w:hAnsi="Times New Roman"/>
          <w:color w:val="000000"/>
          <w:sz w:val="20"/>
        </w:rPr>
        <w:t xml:space="preserve">” </w:t>
      </w:r>
      <w:r>
        <w:rPr>
          <w:rFonts w:ascii="Times New Roman" w:hAnsi="Times New Roman"/>
          <w:color w:val="000000"/>
          <w:sz w:val="22"/>
        </w:rPr>
        <w:t>means, at any time, any Lender that has a Revolving Credit Commitment or that holds Revolving Credit Loans at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Revolving Credit Note</w:t>
      </w:r>
      <w:r>
        <w:rPr>
          <w:rFonts w:ascii="Times New Roman" w:hAnsi="Times New Roman"/>
          <w:color w:val="000000"/>
          <w:sz w:val="20"/>
        </w:rPr>
        <w:t xml:space="preserve">” </w:t>
      </w:r>
      <w:r>
        <w:rPr>
          <w:rFonts w:ascii="Times New Roman" w:hAnsi="Times New Roman"/>
          <w:color w:val="000000"/>
          <w:sz w:val="22"/>
        </w:rPr>
        <w:t xml:space="preserve">means a promissory note of the Borrower payable to any Revolving Credit Lender or its registered assigns, in substantially the form of </w:t>
      </w:r>
      <w:r>
        <w:rPr>
          <w:rFonts w:ascii="Times New Roman" w:hAnsi="Times New Roman"/>
          <w:color w:val="000000"/>
          <w:sz w:val="22"/>
          <w:u w:val="single"/>
        </w:rPr>
        <w:t>Exhibit C-2</w:t>
      </w:r>
      <w:r>
        <w:rPr>
          <w:rFonts w:ascii="Times New Roman" w:hAnsi="Times New Roman"/>
          <w:color w:val="000000"/>
          <w:sz w:val="20"/>
        </w:rPr>
        <w:t xml:space="preserve"> </w:t>
      </w:r>
      <w:r>
        <w:rPr>
          <w:rFonts w:ascii="Times New Roman" w:hAnsi="Times New Roman"/>
          <w:color w:val="000000"/>
          <w:sz w:val="22"/>
        </w:rPr>
        <w:t>hereto, evidencing the aggregate Indebtedness of the Borrower to such Revolving Credit Lender resulting from the Revolving Credit Loans made by such Revolving Credit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means Standard &amp; Poor’s Financial Services LLC, a subsidiary of S&amp;P Global Inc., and any successor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Sale Leaseback</w:t>
      </w:r>
      <w:r>
        <w:rPr>
          <w:rFonts w:ascii="Times New Roman" w:hAnsi="Times New Roman"/>
          <w:color w:val="000000"/>
          <w:sz w:val="20"/>
        </w:rPr>
        <w:t xml:space="preserve">” </w:t>
      </w:r>
      <w:r>
        <w:rPr>
          <w:rFonts w:ascii="Times New Roman" w:hAnsi="Times New Roman"/>
          <w:color w:val="000000"/>
          <w:sz w:val="22"/>
        </w:rPr>
        <w:t>means any transaction or series of related transactions pursuant to which the Borrower or any of its Restricted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Same Day Funds</w:t>
      </w:r>
      <w:r>
        <w:rPr>
          <w:rFonts w:ascii="Times New Roman" w:hAnsi="Times New Roman"/>
          <w:color w:val="000000"/>
          <w:sz w:val="20"/>
        </w:rPr>
        <w:t xml:space="preserve">” </w:t>
      </w:r>
      <w:r>
        <w:rPr>
          <w:rFonts w:ascii="Times New Roman" w:hAnsi="Times New Roman"/>
          <w:color w:val="000000"/>
          <w:sz w:val="22"/>
        </w:rPr>
        <w:t>means immediately available funds.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Sanctions Laws and Regulations</w:t>
      </w:r>
      <w:r>
        <w:rPr>
          <w:rFonts w:ascii="Times New Roman" w:hAnsi="Times New Roman"/>
          <w:color w:val="000000"/>
          <w:sz w:val="20"/>
        </w:rPr>
        <w:t xml:space="preserve">” </w:t>
      </w:r>
      <w:r>
        <w:rPr>
          <w:rFonts w:ascii="Times New Roman" w:hAnsi="Times New Roman"/>
          <w:color w:val="000000"/>
          <w:sz w:val="22"/>
        </w:rPr>
        <w:t>means individually and collectively, respectively, any and all economic sanctions, trade sanctions, financial sanctions, sectoral sanctions, secondary sanctions, trade embargoes, anti-terrorism laws and other sanctions laws, regulations or embargoes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(d) any other Governmental Authority with jurisdiction over any Secured Party or any Loan Party or any of their respective Subsidiaries or Affiliates.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means the Securities and Exchange Commission or any Governmental Authority succeeding to any of its principal functions.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Second Amendment Effective Date</w:t>
      </w:r>
      <w:r>
        <w:rPr>
          <w:rFonts w:ascii="Times New Roman" w:hAnsi="Times New Roman"/>
          <w:color w:val="000000"/>
          <w:sz w:val="20"/>
        </w:rPr>
        <w:t xml:space="preserve">” </w:t>
      </w:r>
      <w:r>
        <w:rPr>
          <w:rFonts w:ascii="Times New Roman" w:hAnsi="Times New Roman"/>
          <w:color w:val="000000"/>
          <w:sz w:val="22"/>
        </w:rPr>
        <w:t>means January 30, 2026.</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Secured Hedge Agreement</w:t>
      </w:r>
      <w:r>
        <w:rPr>
          <w:rFonts w:ascii="Times New Roman" w:hAnsi="Times New Roman"/>
          <w:color w:val="000000"/>
          <w:sz w:val="20"/>
        </w:rPr>
        <w:t xml:space="preserve">” </w:t>
      </w:r>
      <w:r>
        <w:rPr>
          <w:rFonts w:ascii="Times New Roman" w:hAnsi="Times New Roman"/>
          <w:color w:val="000000"/>
          <w:sz w:val="22"/>
        </w:rPr>
        <w:t>means any Swap Contract that is entered into by and between any Loan Party (or any Person that merges into a Loan Party) or any Restricted Subsidiary and any Hedge Bank.</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Secured Parties</w:t>
      </w:r>
      <w:r>
        <w:rPr>
          <w:rFonts w:ascii="Times New Roman" w:hAnsi="Times New Roman"/>
          <w:color w:val="000000"/>
          <w:sz w:val="20"/>
        </w:rPr>
        <w:t xml:space="preserve">” </w:t>
      </w:r>
      <w:r>
        <w:rPr>
          <w:rFonts w:ascii="Times New Roman" w:hAnsi="Times New Roman"/>
          <w:color w:val="000000"/>
          <w:sz w:val="22"/>
        </w:rPr>
        <w:t xml:space="preserve">means, collectively, the Administrative Agent, the Collateral Agent, the Lenders, the L/C Issuers, the Hedge Banks, the Cash Management Banks, the Supplemental Administrative Agent and each co-agent or sub-agent appointed by the Administrative Agent from time to time pursuant to </w:t>
      </w:r>
      <w:r>
        <w:rPr>
          <w:rFonts w:ascii="Times New Roman" w:hAnsi="Times New Roman"/>
          <w:color w:val="000000"/>
          <w:sz w:val="22"/>
          <w:u w:val="single"/>
        </w:rPr>
        <w:t>Section 9.02</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means the Securities Act of 1933.</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Security Agreement</w:t>
      </w:r>
      <w:r>
        <w:rPr>
          <w:rFonts w:ascii="Times New Roman" w:hAnsi="Times New Roman"/>
          <w:color w:val="000000"/>
          <w:sz w:val="20"/>
        </w:rPr>
        <w:t xml:space="preserve">” </w:t>
      </w:r>
      <w:r>
        <w:rPr>
          <w:rFonts w:ascii="Times New Roman" w:hAnsi="Times New Roman"/>
          <w:color w:val="000000"/>
          <w:sz w:val="22"/>
        </w:rPr>
        <w:t xml:space="preserve">means, collectively, the Security Agreement executed by the Loan Parties party thereto on the Closing Date substantially in the form of </w:t>
      </w:r>
      <w:r>
        <w:rPr>
          <w:rFonts w:ascii="Times New Roman" w:hAnsi="Times New Roman"/>
          <w:color w:val="000000"/>
          <w:sz w:val="22"/>
          <w:u w:val="single"/>
        </w:rPr>
        <w:t>Exhibit H</w:t>
      </w:r>
      <w:r>
        <w:rPr>
          <w:rFonts w:ascii="Times New Roman" w:hAnsi="Times New Roman"/>
          <w:color w:val="000000"/>
          <w:sz w:val="20"/>
        </w:rPr>
        <w:t xml:space="preserve"> </w:t>
      </w:r>
      <w:r>
        <w:rPr>
          <w:rFonts w:ascii="Times New Roman" w:hAnsi="Times New Roman"/>
          <w:color w:val="000000"/>
          <w:sz w:val="22"/>
        </w:rPr>
        <w:t xml:space="preserve">as supplemented by any Security Agreement Supplement executed and delivered pursuant to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Security Agreement Supplement</w:t>
      </w:r>
      <w:r>
        <w:rPr>
          <w:rFonts w:ascii="Times New Roman" w:hAnsi="Times New Roman"/>
          <w:color w:val="000000"/>
          <w:sz w:val="20"/>
        </w:rPr>
        <w:t xml:space="preserve">” </w:t>
      </w:r>
      <w:r>
        <w:rPr>
          <w:rFonts w:ascii="Times New Roman" w:hAnsi="Times New Roman"/>
          <w:color w:val="000000"/>
          <w:sz w:val="22"/>
        </w:rPr>
        <w:t>means a supplement to any Security Agreement as contemplated by such Security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Senior Officer</w:t>
      </w:r>
      <w:r>
        <w:rPr>
          <w:rFonts w:ascii="Times New Roman" w:hAnsi="Times New Roman"/>
          <w:color w:val="000000"/>
          <w:sz w:val="20"/>
        </w:rPr>
        <w:t xml:space="preserve">” </w:t>
      </w:r>
      <w:r>
        <w:rPr>
          <w:rFonts w:ascii="Times New Roman" w:hAnsi="Times New Roman"/>
          <w:color w:val="000000"/>
          <w:sz w:val="22"/>
        </w:rPr>
        <w:t>means the chief executive officer, president, chief financial officer, chief accounting officer, treasurer, secretary or general counsel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means a rate equal to the secured overnight financing rate as administered by the CME Term SOFR Administrator.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Adjusted Term SOFR Rate (other than pursuant to clause (b) of the definition of “Base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Sold Entity or Business</w:t>
      </w:r>
      <w:r>
        <w:rPr>
          <w:rFonts w:ascii="Times New Roman" w:hAnsi="Times New Roman"/>
          <w:color w:val="000000"/>
          <w:sz w:val="20"/>
        </w:rPr>
        <w:t xml:space="preserve">” </w:t>
      </w:r>
      <w:r>
        <w:rPr>
          <w:rFonts w:ascii="Times New Roman" w:hAnsi="Times New Roman"/>
          <w:color w:val="000000"/>
          <w:sz w:val="22"/>
        </w:rPr>
        <w:t>has the meaning specified in the definition of the term “Consolidated EBITDA.”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Solvent</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Solvency</w:t>
      </w:r>
      <w:r>
        <w:rPr>
          <w:rFonts w:ascii="Times New Roman" w:hAnsi="Times New Roman"/>
          <w:color w:val="000000"/>
          <w:sz w:val="20"/>
        </w:rPr>
        <w:t xml:space="preserve">” </w:t>
      </w:r>
      <w:r>
        <w:rPr>
          <w:rFonts w:ascii="Times New Roman" w:hAnsi="Times New Roman"/>
          <w:color w:val="000000"/>
          <w:sz w:val="22"/>
        </w:rPr>
        <w:t xml:space="preserve">mean, with respect to any Person on any date of determination, that on such date (i) the fair value of the property of such Person is greater than the total amount of debts and liabilities, contingent, subordinated or otherwise, of such Person, (ii) the present fair salable value of the assets of such Person is not less than the amount that will be required to pay the liability of such Person on its debts as they become absolute and matured, (iii) such Person will be able to pay its debts and liabilities, subordinated, contingent or otherwise, as they become absolute and matured and (iv) such Person is not engaged in business or a transaction, and is not about to engage in business or a transaction, for which such Person’s property would constitute an unreasonably small capital;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amount of contingent liabilities at any time shall be computed as the amount that, in light of all the facts and circumstances existing at such time, represents the amount that can reasonably be expected to become an actual or matured liability.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10.07(h)</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Communications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10.02(g)</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Debt Documents</w:t>
      </w:r>
      <w:r>
        <w:rPr>
          <w:rFonts w:ascii="Times New Roman" w:hAnsi="Times New Roman"/>
          <w:color w:val="000000"/>
          <w:sz w:val="20"/>
        </w:rPr>
        <w:t xml:space="preserve">” </w:t>
      </w:r>
      <w:r>
        <w:rPr>
          <w:rFonts w:ascii="Times New Roman" w:hAnsi="Times New Roman"/>
          <w:color w:val="000000"/>
          <w:sz w:val="22"/>
        </w:rPr>
        <w:t>means any agreement, indenture or instrument pursuant to which any Specified Indebtedness is issued, in each case as amended to the extent permitted under the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Event of Default</w:t>
      </w:r>
      <w:r>
        <w:rPr>
          <w:rFonts w:ascii="Times New Roman" w:hAnsi="Times New Roman"/>
          <w:color w:val="000000"/>
          <w:sz w:val="20"/>
        </w:rPr>
        <w:t xml:space="preserve">” </w:t>
      </w:r>
      <w:r>
        <w:rPr>
          <w:rFonts w:ascii="Times New Roman" w:hAnsi="Times New Roman"/>
          <w:color w:val="000000"/>
          <w:sz w:val="22"/>
        </w:rPr>
        <w:t xml:space="preserve">means an Event of Default pursuant to </w:t>
      </w:r>
      <w:r>
        <w:rPr>
          <w:rFonts w:ascii="Times New Roman" w:hAnsi="Times New Roman"/>
          <w:color w:val="000000"/>
          <w:sz w:val="22"/>
          <w:u w:val="single"/>
        </w:rPr>
        <w:t>Sections 8.01(a)</w:t>
      </w:r>
      <w:r>
        <w:rPr>
          <w:rFonts w:ascii="Times New Roman" w:hAnsi="Times New Roman"/>
          <w:color w:val="000000"/>
          <w:sz w:val="22"/>
        </w:rPr>
        <w:t xml:space="preserve">, </w:t>
      </w:r>
      <w:r>
        <w:rPr>
          <w:rFonts w:ascii="Times New Roman" w:hAnsi="Times New Roman"/>
          <w:color w:val="000000"/>
          <w:sz w:val="22"/>
          <w:u w:val="single"/>
        </w:rPr>
        <w:t>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8.01(g)</w:t>
      </w:r>
      <w:r>
        <w:rPr>
          <w:rFonts w:ascii="Times New Roman" w:hAnsi="Times New Roman"/>
          <w:color w:val="000000"/>
          <w:sz w:val="20"/>
        </w:rPr>
        <w:t xml:space="preserve"> </w:t>
      </w:r>
      <w:r>
        <w:rPr>
          <w:rFonts w:ascii="Times New Roman" w:hAnsi="Times New Roman"/>
          <w:color w:val="000000"/>
          <w:sz w:val="22"/>
        </w:rPr>
        <w:t xml:space="preserve">(in the case of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8.01(g)</w:t>
      </w:r>
      <w:r>
        <w:rPr>
          <w:rFonts w:ascii="Times New Roman" w:hAnsi="Times New Roman"/>
          <w:color w:val="000000"/>
          <w:sz w:val="22"/>
        </w:rPr>
        <w:t>, with respect to the Borrower).</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Fiscal Quarter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8.05(a)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Indebtedness</w:t>
      </w:r>
      <w:r>
        <w:rPr>
          <w:rFonts w:ascii="Times New Roman" w:hAnsi="Times New Roman"/>
          <w:color w:val="000000"/>
          <w:sz w:val="20"/>
        </w:rPr>
        <w:t xml:space="preserve">” </w:t>
      </w:r>
      <w:r>
        <w:rPr>
          <w:rFonts w:ascii="Times New Roman" w:hAnsi="Times New Roman"/>
          <w:color w:val="000000"/>
          <w:sz w:val="22"/>
        </w:rPr>
        <w:t>means Indebtedness (other than Indebtedness among the Borrower and its Restricted Subsidiaries) that is (a) Subordinated Debt, (b) secured by Liens on all or any portion of the Collateral ranking junior to the Liens securing the Obligations or (c) unsecured Indebtedness for borrowed money, in each case, with an individual outstanding principal amount in excess of $10,000,000.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Loan Party</w:t>
      </w:r>
      <w:r>
        <w:rPr>
          <w:rFonts w:ascii="Times New Roman" w:hAnsi="Times New Roman"/>
          <w:color w:val="000000"/>
          <w:sz w:val="20"/>
        </w:rPr>
        <w:t xml:space="preserve">” </w:t>
      </w:r>
      <w:r>
        <w:rPr>
          <w:rFonts w:ascii="Times New Roman" w:hAnsi="Times New Roman"/>
          <w:color w:val="000000"/>
          <w:sz w:val="22"/>
        </w:rPr>
        <w:t>means any Loan Party that is not an “eligible contract participant” as defined in the Commodity Exchange Act (determined prior to giving effect to any applicable keep well, support or other agreement for the benefit of such Guarantor and any and all Guarantees of such Guarantor’s Swap Obligations by other Loan Parties).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Representations</w:t>
      </w:r>
      <w:r>
        <w:rPr>
          <w:rFonts w:ascii="Times New Roman" w:hAnsi="Times New Roman"/>
          <w:color w:val="000000"/>
          <w:sz w:val="20"/>
        </w:rPr>
        <w:t xml:space="preserve">” </w:t>
      </w:r>
      <w:r>
        <w:rPr>
          <w:rFonts w:ascii="Times New Roman" w:hAnsi="Times New Roman"/>
          <w:color w:val="000000"/>
          <w:sz w:val="22"/>
        </w:rPr>
        <w:t xml:space="preserve">means the representations and warranties of the Borrower set forth in </w:t>
      </w:r>
      <w:r>
        <w:rPr>
          <w:rFonts w:ascii="Times New Roman" w:hAnsi="Times New Roman"/>
          <w:color w:val="000000"/>
          <w:sz w:val="22"/>
          <w:u w:val="single"/>
        </w:rPr>
        <w:t>Sections 5.01(a)</w:t>
      </w:r>
      <w:r>
        <w:rPr>
          <w:rFonts w:ascii="Times New Roman" w:hAnsi="Times New Roman"/>
          <w:color w:val="000000"/>
          <w:sz w:val="20"/>
        </w:rPr>
        <w:t xml:space="preserve"> </w:t>
      </w:r>
      <w:r>
        <w:rPr>
          <w:rFonts w:ascii="Times New Roman" w:hAnsi="Times New Roman"/>
          <w:color w:val="000000"/>
          <w:sz w:val="22"/>
        </w:rPr>
        <w:t xml:space="preserve">(solely as it relates to the Borrower), </w:t>
      </w:r>
      <w:r>
        <w:rPr>
          <w:rFonts w:ascii="Times New Roman" w:hAnsi="Times New Roman"/>
          <w:color w:val="000000"/>
          <w:sz w:val="22"/>
          <w:u w:val="single"/>
        </w:rPr>
        <w:t>5.01(b)(ii)</w:t>
      </w:r>
      <w:r>
        <w:rPr>
          <w:rFonts w:ascii="Times New Roman" w:hAnsi="Times New Roman"/>
          <w:color w:val="000000"/>
          <w:sz w:val="22"/>
        </w:rPr>
        <w:t xml:space="preserve">, </w:t>
      </w:r>
      <w:r>
        <w:rPr>
          <w:rFonts w:ascii="Times New Roman" w:hAnsi="Times New Roman"/>
          <w:color w:val="000000"/>
          <w:sz w:val="22"/>
          <w:u w:val="single"/>
        </w:rPr>
        <w:t>5.02(a)</w:t>
      </w:r>
      <w:r>
        <w:rPr>
          <w:rFonts w:ascii="Times New Roman" w:hAnsi="Times New Roman"/>
          <w:color w:val="000000"/>
          <w:sz w:val="20"/>
        </w:rPr>
        <w:t xml:space="preserve"> </w:t>
      </w:r>
      <w:r>
        <w:rPr>
          <w:rFonts w:ascii="Times New Roman" w:hAnsi="Times New Roman"/>
          <w:color w:val="000000"/>
          <w:sz w:val="22"/>
        </w:rPr>
        <w:t xml:space="preserve">(related to the entering into and performance of the Loan Documents and the incurrence of the extensions of credit thereunder), </w:t>
      </w:r>
      <w:r>
        <w:rPr>
          <w:rFonts w:ascii="Times New Roman" w:hAnsi="Times New Roman"/>
          <w:color w:val="000000"/>
          <w:sz w:val="22"/>
          <w:u w:val="single"/>
        </w:rPr>
        <w:t>5.02(b)(i)</w:t>
      </w:r>
      <w:r>
        <w:rPr>
          <w:rFonts w:ascii="Times New Roman" w:hAnsi="Times New Roman"/>
          <w:color w:val="000000"/>
          <w:sz w:val="20"/>
        </w:rPr>
        <w:t xml:space="preserve"> </w:t>
      </w:r>
      <w:r>
        <w:rPr>
          <w:rFonts w:ascii="Times New Roman" w:hAnsi="Times New Roman"/>
          <w:color w:val="000000"/>
          <w:sz w:val="22"/>
        </w:rPr>
        <w:t xml:space="preserve">(related to the entering into and performance of the Loan Documents and the incurrence of the extensions of credit thereunder), </w:t>
      </w:r>
      <w:r>
        <w:rPr>
          <w:rFonts w:ascii="Times New Roman" w:hAnsi="Times New Roman"/>
          <w:color w:val="000000"/>
          <w:sz w:val="22"/>
          <w:u w:val="single"/>
        </w:rPr>
        <w:t>5.04</w:t>
      </w:r>
      <w:r>
        <w:rPr>
          <w:rFonts w:ascii="Times New Roman" w:hAnsi="Times New Roman"/>
          <w:color w:val="000000"/>
          <w:sz w:val="22"/>
        </w:rPr>
        <w:t xml:space="preserve">, </w:t>
      </w:r>
      <w:r>
        <w:rPr>
          <w:rFonts w:ascii="Times New Roman" w:hAnsi="Times New Roman"/>
          <w:color w:val="000000"/>
          <w:sz w:val="22"/>
          <w:u w:val="single"/>
        </w:rPr>
        <w:t>5.12</w:t>
      </w:r>
      <w:r>
        <w:rPr>
          <w:rFonts w:ascii="Times New Roman" w:hAnsi="Times New Roman"/>
          <w:color w:val="000000"/>
          <w:sz w:val="22"/>
        </w:rPr>
        <w:t xml:space="preserve">, </w:t>
      </w:r>
      <w:r>
        <w:rPr>
          <w:rFonts w:ascii="Times New Roman" w:hAnsi="Times New Roman"/>
          <w:color w:val="000000"/>
          <w:sz w:val="22"/>
          <w:u w:val="single"/>
        </w:rPr>
        <w:t>5.15</w:t>
      </w:r>
      <w:r>
        <w:rPr>
          <w:rFonts w:ascii="Times New Roman" w:hAnsi="Times New Roman"/>
          <w:color w:val="000000"/>
          <w:sz w:val="22"/>
        </w:rPr>
        <w:t xml:space="preserve">, </w:t>
      </w:r>
      <w:r>
        <w:rPr>
          <w:rFonts w:ascii="Times New Roman" w:hAnsi="Times New Roman"/>
          <w:color w:val="000000"/>
          <w:sz w:val="22"/>
          <w:u w:val="single"/>
        </w:rPr>
        <w:t>5.16</w:t>
      </w:r>
      <w:r>
        <w:rPr>
          <w:rFonts w:ascii="Times New Roman" w:hAnsi="Times New Roman"/>
          <w:color w:val="000000"/>
          <w:sz w:val="20"/>
        </w:rPr>
        <w:t xml:space="preserve"> </w:t>
      </w:r>
      <w:r>
        <w:rPr>
          <w:rFonts w:ascii="Times New Roman" w:hAnsi="Times New Roman"/>
          <w:color w:val="000000"/>
          <w:sz w:val="22"/>
        </w:rPr>
        <w:t xml:space="preserve">(subject to the proviso to </w:t>
      </w:r>
      <w:r>
        <w:rPr>
          <w:rFonts w:ascii="Times New Roman" w:hAnsi="Times New Roman"/>
          <w:color w:val="000000"/>
          <w:sz w:val="22"/>
          <w:u w:val="single"/>
        </w:rPr>
        <w:t>Section 4.01(a)(iii)</w:t>
      </w:r>
      <w:r>
        <w:rPr>
          <w:rFonts w:ascii="Times New Roman" w:hAnsi="Times New Roman"/>
          <w:color w:val="000000"/>
          <w:sz w:val="22"/>
        </w:rPr>
        <w:t xml:space="preserve">) and </w:t>
      </w:r>
      <w:r>
        <w:rPr>
          <w:rFonts w:ascii="Times New Roman" w:hAnsi="Times New Roman"/>
          <w:color w:val="000000"/>
          <w:sz w:val="22"/>
          <w:u w:val="single"/>
        </w:rPr>
        <w:t>5.18</w:t>
      </w:r>
      <w:r>
        <w:rPr>
          <w:rFonts w:ascii="Times New Roman" w:hAnsi="Times New Roman"/>
          <w:color w:val="000000"/>
          <w:sz w:val="20"/>
        </w:rPr>
        <w:t xml:space="preserve"> </w:t>
      </w:r>
      <w:r>
        <w:rPr>
          <w:rFonts w:ascii="Times New Roman" w:hAnsi="Times New Roman"/>
          <w:color w:val="000000"/>
          <w:sz w:val="22"/>
        </w:rPr>
        <w:t>(limited to the use of proceeds of the Loans on the Closing Date).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Specified Transaction</w:t>
      </w:r>
      <w:r>
        <w:rPr>
          <w:rFonts w:ascii="Times New Roman" w:hAnsi="Times New Roman"/>
          <w:color w:val="000000"/>
          <w:sz w:val="20"/>
        </w:rPr>
        <w:t xml:space="preserve">” </w:t>
      </w:r>
      <w:r>
        <w:rPr>
          <w:rFonts w:ascii="Times New Roman" w:hAnsi="Times New Roman"/>
          <w:color w:val="000000"/>
          <w:sz w:val="22"/>
        </w:rPr>
        <w:t xml:space="preserve">means any Investment, Disposition, incurrence or repayment of Indebtedness, Restricted Payment, Subsidiary designation, Incremental Term Loan that by the terms of this Agreement requires such test to be calculated on a “Pro Forma Basis” or after giving “Pro Forma Effect”;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increase in the Revolving Credit Commitment above the Revolving Credit Commitments in effect on the Closing Date, for purposes of this “Specified Transaction” definition, shall be deemed to be fully drawn.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Subordinated Debt</w:t>
      </w:r>
      <w:r>
        <w:rPr>
          <w:rFonts w:ascii="Times New Roman" w:hAnsi="Times New Roman"/>
          <w:color w:val="000000"/>
          <w:sz w:val="20"/>
        </w:rPr>
        <w:t xml:space="preserve">” </w:t>
      </w:r>
      <w:r>
        <w:rPr>
          <w:rFonts w:ascii="Times New Roman" w:hAnsi="Times New Roman"/>
          <w:color w:val="000000"/>
          <w:sz w:val="22"/>
        </w:rPr>
        <w:t>means Indebtedness incurred by a Loan Party that is subordinated in right of payment to the prior payment of all Obligations of such Loan Party under the Loan Documents.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of a Person means a corporation, company,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Successor Borrower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7.04(d)</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Supplemental Administrative Agent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9.13(a)</w:t>
      </w:r>
      <w:r>
        <w:rPr>
          <w:rFonts w:ascii="Times New Roman" w:hAnsi="Times New Roman"/>
          <w:color w:val="000000"/>
          <w:sz w:val="20"/>
        </w:rPr>
        <w:t xml:space="preserve"> </w:t>
      </w:r>
      <w:r>
        <w:rPr>
          <w:rFonts w:ascii="Times New Roman" w:hAnsi="Times New Roman"/>
          <w:color w:val="000000"/>
          <w:sz w:val="22"/>
        </w:rPr>
        <w:t>and “Supplemental Administrative Agents” shall have the corresponding meaning.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Surviving Indebtedness</w:t>
      </w:r>
      <w:r>
        <w:rPr>
          <w:rFonts w:ascii="Times New Roman" w:hAnsi="Times New Roman"/>
          <w:color w:val="000000"/>
          <w:sz w:val="20"/>
        </w:rPr>
        <w:t xml:space="preserve">” </w:t>
      </w:r>
      <w:r>
        <w:rPr>
          <w:rFonts w:ascii="Times New Roman" w:hAnsi="Times New Roman"/>
          <w:color w:val="000000"/>
          <w:sz w:val="22"/>
        </w:rPr>
        <w:t>means Indebtedness of the Borrower or any of its Subsidiaries outstanding immediately after giving effect to the Transactions.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Swap Contract</w:t>
      </w:r>
      <w:r>
        <w:rPr>
          <w:rFonts w:ascii="Times New Roman" w:hAnsi="Times New Roman"/>
          <w:color w:val="000000"/>
          <w:sz w:val="20"/>
        </w:rPr>
        <w:t xml:space="preserve">” </w:t>
      </w:r>
      <w:r>
        <w:rPr>
          <w:rFonts w:ascii="Times New Roman" w:hAnsi="Times New Roman"/>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olor w:val="000000"/>
          <w:sz w:val="22"/>
          <w:u w:val="single"/>
        </w:rPr>
        <w:t>Master Agreement</w:t>
      </w:r>
      <w:r>
        <w:rPr>
          <w:rFonts w:ascii="Times New Roman" w:hAnsi="Times New Roman"/>
          <w:color w:val="000000"/>
          <w:sz w:val="20"/>
        </w:rPr>
        <w:t>”</w:t>
      </w:r>
      <w:r>
        <w:rPr>
          <w:rFonts w:ascii="Times New Roman" w:hAnsi="Times New Roman"/>
          <w:color w:val="000000"/>
          <w:sz w:val="22"/>
        </w:rPr>
        <w:t>), including any such obligations or liabilities under any Master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Swap Obligation</w:t>
      </w:r>
      <w:r>
        <w:rPr>
          <w:rFonts w:ascii="Times New Roman" w:hAnsi="Times New Roman"/>
          <w:color w:val="000000"/>
          <w:sz w:val="20"/>
        </w:rPr>
        <w:t xml:space="preserve">” </w:t>
      </w:r>
      <w:r>
        <w:rPr>
          <w:rFonts w:ascii="Times New Roman" w:hAnsi="Times New Roman"/>
          <w:color w:val="000000"/>
          <w:sz w:val="22"/>
        </w:rPr>
        <w:t>means any obligation of any Guarantor to pay or perform under any agreement, contract, or transaction that constitutes a “swap” within the meaning of Section 1a(47) of the Commodity Exchange Act.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Swap Termination Value</w:t>
      </w:r>
      <w:r>
        <w:rPr>
          <w:rFonts w:ascii="Times New Roman" w:hAnsi="Times New Roman"/>
          <w:color w:val="000000"/>
          <w:sz w:val="20"/>
        </w:rPr>
        <w:t xml:space="preserve">” </w:t>
      </w:r>
      <w:r>
        <w:rPr>
          <w:rFonts w:ascii="Times New Roman" w:hAnsi="Times New Roman"/>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hAnsi="Times New Roman"/>
          <w:color w:val="000000"/>
          <w:sz w:val="22"/>
          <w:u w:val="single"/>
        </w:rPr>
        <w:t>clause (a)</w:t>
      </w:r>
      <w:r>
        <w:rPr>
          <w:rFonts w:ascii="Times New Roman" w:hAnsi="Times New Roman"/>
          <w:color w:val="000000"/>
          <w:sz w:val="22"/>
        </w:rPr>
        <w:t>, the amount(s) determined as the mark to market value(s) for such Swap Contracts, as determined by the Hedge Bank (or the Borrower, if no Hedge Bank is party to such Swap Contract) in accordance with the terms thereof and in accordance with customary methods for calculating mark-to-market values under similar arrangements by the Hedge Bank (or the Borrower, if no Hedge Bank is party to such Swap Contract).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Borrowing</w:t>
      </w:r>
      <w:r>
        <w:rPr>
          <w:rFonts w:ascii="Times New Roman" w:hAnsi="Times New Roman"/>
          <w:color w:val="000000"/>
          <w:sz w:val="20"/>
        </w:rPr>
        <w:t xml:space="preserve">” </w:t>
      </w:r>
      <w:r>
        <w:rPr>
          <w:rFonts w:ascii="Times New Roman" w:hAnsi="Times New Roman"/>
          <w:color w:val="000000"/>
          <w:sz w:val="22"/>
        </w:rPr>
        <w:t xml:space="preserve">means a borrowing of a Swing Line Loan pursuant to </w:t>
      </w:r>
      <w:r>
        <w:rPr>
          <w:rFonts w:ascii="Times New Roman" w:hAnsi="Times New Roman"/>
          <w:color w:val="000000"/>
          <w:sz w:val="22"/>
          <w:u w:val="single"/>
        </w:rPr>
        <w:t>Section 2.04</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Lender</w:t>
      </w:r>
      <w:r>
        <w:rPr>
          <w:rFonts w:ascii="Times New Roman" w:hAnsi="Times New Roman"/>
          <w:color w:val="000000"/>
          <w:sz w:val="20"/>
        </w:rPr>
        <w:t xml:space="preserve">” </w:t>
      </w:r>
      <w:r>
        <w:rPr>
          <w:rFonts w:ascii="Times New Roman" w:hAnsi="Times New Roman"/>
          <w:color w:val="000000"/>
          <w:sz w:val="22"/>
        </w:rPr>
        <w:t xml:space="preserve">means Wells Fargo and any other Revolving Credit Lender (or any of its Subsidiaries or Affiliates) that becomes a Swing Line Lender in accordance with </w:t>
      </w:r>
      <w:r>
        <w:rPr>
          <w:rFonts w:ascii="Times New Roman" w:hAnsi="Times New Roman"/>
          <w:color w:val="000000"/>
          <w:sz w:val="22"/>
          <w:u w:val="single"/>
        </w:rPr>
        <w:t>Section 2.04(h)</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10.07(j)</w:t>
      </w:r>
      <w:r>
        <w:rPr>
          <w:rFonts w:ascii="Times New Roman" w:hAnsi="Times New Roman"/>
          <w:color w:val="000000"/>
          <w:sz w:val="22"/>
        </w:rPr>
        <w:t>, in its capacity as provider of Swing Line Loans, or any successor swing line lender hereunder. Unless the context requires otherwise, the Swing Lien Lender shall be deemed to be a “Lender” hereunder and the other Loan Documents.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2.04(a)</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Loan Notice</w:t>
      </w:r>
      <w:r>
        <w:rPr>
          <w:rFonts w:ascii="Times New Roman" w:hAnsi="Times New Roman"/>
          <w:color w:val="000000"/>
          <w:sz w:val="20"/>
        </w:rPr>
        <w:t xml:space="preserve">” </w:t>
      </w:r>
      <w:r>
        <w:rPr>
          <w:rFonts w:ascii="Times New Roman" w:hAnsi="Times New Roman"/>
          <w:color w:val="000000"/>
          <w:sz w:val="22"/>
        </w:rPr>
        <w:t xml:space="preserve">means a notice of a Swing Line Borrowing pursuant to </w:t>
      </w:r>
      <w:r>
        <w:rPr>
          <w:rFonts w:ascii="Times New Roman" w:hAnsi="Times New Roman"/>
          <w:color w:val="000000"/>
          <w:sz w:val="22"/>
          <w:u w:val="single"/>
        </w:rPr>
        <w:t>Section 2.04(b)</w:t>
      </w:r>
      <w:r>
        <w:rPr>
          <w:rFonts w:ascii="Times New Roman" w:hAnsi="Times New Roman"/>
          <w:color w:val="000000"/>
          <w:sz w:val="22"/>
        </w:rPr>
        <w:t xml:space="preserve">, which, if in writing, shall be substantially in the form of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or such other form as approved by the Administrative Agent (including any form on an electronic platform or transmission system as shall be approved by the Administrative Agent), appropriately completed and signed by a Responsible Officer of the Borrower.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Obligations</w:t>
      </w:r>
      <w:r>
        <w:rPr>
          <w:rFonts w:ascii="Times New Roman" w:hAnsi="Times New Roman"/>
          <w:color w:val="000000"/>
          <w:sz w:val="20"/>
        </w:rPr>
        <w:t xml:space="preserve">” </w:t>
      </w:r>
      <w:r>
        <w:rPr>
          <w:rFonts w:ascii="Times New Roman" w:hAnsi="Times New Roman"/>
          <w:color w:val="000000"/>
          <w:sz w:val="22"/>
        </w:rPr>
        <w:t>means, as at any date of determination, the aggregate principal amount of all Swing Line Loans outstanding.</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Swing Line Sublimit</w:t>
      </w:r>
      <w:r>
        <w:rPr>
          <w:rFonts w:ascii="Times New Roman" w:hAnsi="Times New Roman"/>
          <w:color w:val="000000"/>
          <w:sz w:val="20"/>
        </w:rPr>
        <w:t xml:space="preserve">” </w:t>
      </w:r>
      <w:r>
        <w:rPr>
          <w:rFonts w:ascii="Times New Roman" w:hAnsi="Times New Roman"/>
          <w:color w:val="000000"/>
          <w:sz w:val="22"/>
        </w:rPr>
        <w:t>means an amount equal to the lesser of (a) $10,000,000 and (b) the aggregate principal amount of the Revolving Credit Commitments. The Swing Line Sublimit is part of, and not in addition to, the Revolving Credit Commitments.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means all present or future taxes, duties, levies, imposts, deductions, assessments, fees, withholdings or similar charges imposed by any Governmental Authorities, and any additions to tax, penalties and interest with respect thereto.</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Benchmark</w:t>
      </w:r>
      <w:r>
        <w:rPr>
          <w:rFonts w:ascii="Times New Roman" w:hAnsi="Times New Roman"/>
          <w:color w:val="000000"/>
          <w:sz w:val="20"/>
        </w:rPr>
        <w:t xml:space="preserve">” </w:t>
      </w:r>
      <w:r>
        <w:rPr>
          <w:rFonts w:ascii="Times New Roman" w:hAnsi="Times New Roman"/>
          <w:color w:val="000000"/>
          <w:sz w:val="22"/>
        </w:rPr>
        <w:t>when used in reference to any Loan or Borrowing, refers to whether such Loan, or the Loans comprising such Borrowing, are bearing interest at a rate determined by reference to the Adjusted Term SOFR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Borrowing</w:t>
      </w:r>
      <w:r>
        <w:rPr>
          <w:rFonts w:ascii="Times New Roman" w:hAnsi="Times New Roman"/>
          <w:color w:val="000000"/>
          <w:sz w:val="20"/>
        </w:rPr>
        <w:t xml:space="preserve">” </w:t>
      </w:r>
      <w:r>
        <w:rPr>
          <w:rFonts w:ascii="Times New Roman" w:hAnsi="Times New Roman"/>
          <w:color w:val="000000"/>
          <w:sz w:val="22"/>
        </w:rPr>
        <w:t>means a Borrowing in respect of a Class of Term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Commitments</w:t>
      </w:r>
      <w:r>
        <w:rPr>
          <w:rFonts w:ascii="Times New Roman" w:hAnsi="Times New Roman"/>
          <w:color w:val="000000"/>
          <w:sz w:val="20"/>
        </w:rPr>
        <w:t xml:space="preserve">” </w:t>
      </w:r>
      <w:r>
        <w:rPr>
          <w:rFonts w:ascii="Times New Roman" w:hAnsi="Times New Roman"/>
          <w:color w:val="000000"/>
          <w:sz w:val="22"/>
        </w:rPr>
        <w:t>means an Initial Term Commitment or a commitment in respect of any Incremental Term Loans or any combination thereof, as the context may require.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Lender</w:t>
      </w:r>
      <w:r>
        <w:rPr>
          <w:rFonts w:ascii="Times New Roman" w:hAnsi="Times New Roman"/>
          <w:color w:val="000000"/>
          <w:sz w:val="20"/>
        </w:rPr>
        <w:t xml:space="preserve">” </w:t>
      </w:r>
      <w:r>
        <w:rPr>
          <w:rFonts w:ascii="Times New Roman" w:hAnsi="Times New Roman"/>
          <w:color w:val="000000"/>
          <w:sz w:val="22"/>
        </w:rPr>
        <w:t>means, at any time, any Lender that has a Term Loan or a Term Commitment at such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means the Initial Term Loans, any Incremental Term Loans and any Extended Term Loans.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Note</w:t>
      </w:r>
      <w:r>
        <w:rPr>
          <w:rFonts w:ascii="Times New Roman" w:hAnsi="Times New Roman"/>
          <w:color w:val="000000"/>
          <w:sz w:val="20"/>
        </w:rPr>
        <w:t xml:space="preserve">” </w:t>
      </w:r>
      <w:r>
        <w:rPr>
          <w:rFonts w:ascii="Times New Roman" w:hAnsi="Times New Roman"/>
          <w:color w:val="000000"/>
          <w:sz w:val="22"/>
        </w:rPr>
        <w:t xml:space="preserve">means a promissory note of the Borrower payable to any Lender or its registered assigns, in substantially the form of </w:t>
      </w:r>
      <w:r>
        <w:rPr>
          <w:rFonts w:ascii="Times New Roman" w:hAnsi="Times New Roman"/>
          <w:color w:val="000000"/>
          <w:sz w:val="22"/>
          <w:u w:val="single"/>
        </w:rPr>
        <w:t>Exhibit C-1</w:t>
      </w:r>
      <w:r>
        <w:rPr>
          <w:rFonts w:ascii="Times New Roman" w:hAnsi="Times New Roman"/>
          <w:color w:val="000000"/>
          <w:sz w:val="20"/>
        </w:rPr>
        <w:t xml:space="preserve"> </w:t>
      </w:r>
      <w:r>
        <w:rPr>
          <w:rFonts w:ascii="Times New Roman" w:hAnsi="Times New Roman"/>
          <w:color w:val="000000"/>
          <w:sz w:val="22"/>
        </w:rPr>
        <w:t>hereto with appropriate insertions, evidencing the aggregate Indebtedness of the Borrower to such Lender resulting from any Class of Term Loans made by such Lender.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for any calculation with respect to a SOFR Loan, the Term SOFR Reference Rate for a tenor comparable to the applicable Interest Period on the day (such day, the “</w:t>
      </w:r>
      <w:r>
        <w:rPr>
          <w:rFonts w:ascii="Times New Roman" w:hAnsi="Times New Roman"/>
          <w:color w:val="000000"/>
          <w:sz w:val="22"/>
          <w:u w:val="single"/>
        </w:rPr>
        <w:t>Term SOFR Determination Day</w:t>
      </w:r>
      <w:r>
        <w:rPr>
          <w:rFonts w:ascii="Times New Roman" w:hAnsi="Times New Roman"/>
          <w:color w:val="000000"/>
          <w:sz w:val="20"/>
        </w:rPr>
        <w:t>”</w:t>
      </w:r>
      <w:r>
        <w:rPr>
          <w:rFonts w:ascii="Times New Roman" w:hAnsi="Times New Roman"/>
          <w:color w:val="000000"/>
          <w:sz w:val="22"/>
        </w:rPr>
        <w:t xml:space="preserve">) that is two (2) U.S. Government Securities Business Days prior to the first day of such Interest Period, as such rate is published by the CME Term SOFR Administrator; </w:t>
      </w:r>
      <w:r>
        <w:rPr>
          <w:rFonts w:ascii="Times New Roman" w:hAnsi="Times New Roman"/>
          <w:color w:val="000000"/>
          <w:sz w:val="22"/>
          <w:u w:val="single"/>
        </w:rPr>
        <w:t>provided</w:t>
      </w:r>
      <w:r>
        <w:rPr>
          <w:rFonts w:ascii="Times New Roman" w:hAnsi="Times New Roman"/>
          <w:color w:val="000000"/>
          <w:sz w:val="22"/>
        </w:rPr>
        <w:t>, however, that if as of 5:00 p.m. (New York City time) on any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Term SOFR Determination Day, and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(b) for any calculation with respect to a Base Rate Loan on any day, the Term SOFR Reference Rate for a tenor of one month on the day (such day, the “</w:t>
      </w:r>
      <w:r>
        <w:rPr>
          <w:rFonts w:ascii="Times New Roman" w:hAnsi="Times New Roman"/>
          <w:color w:val="000000"/>
          <w:sz w:val="22"/>
          <w:u w:val="single"/>
        </w:rPr>
        <w:t>Base Rate Term SOFR Determination Day</w:t>
      </w:r>
      <w:r>
        <w:rPr>
          <w:rFonts w:ascii="Times New Roman" w:hAnsi="Times New Roman"/>
          <w:color w:val="000000"/>
          <w:sz w:val="20"/>
        </w:rPr>
        <w:t>”</w:t>
      </w:r>
      <w:r>
        <w:rPr>
          <w:rFonts w:ascii="Times New Roman" w:hAnsi="Times New Roman"/>
          <w:color w:val="000000"/>
          <w:sz w:val="22"/>
        </w:rPr>
        <w:t xml:space="preserve">) that is two (2) U.S. Government Securities Business Days prior to such day, as such rate is published by the CME Term SOFR Administrator; </w:t>
      </w:r>
      <w:r>
        <w:rPr>
          <w:rFonts w:ascii="Times New Roman" w:hAnsi="Times New Roman"/>
          <w:color w:val="000000"/>
          <w:sz w:val="22"/>
          <w:u w:val="single"/>
        </w:rPr>
        <w:t>provided</w:t>
      </w:r>
      <w:r>
        <w:rPr>
          <w:rFonts w:ascii="Times New Roman" w:hAnsi="Times New Roman"/>
          <w:color w:val="000000"/>
          <w:sz w:val="22"/>
        </w:rPr>
        <w:t>, however, that if as of 5:00 p.m. (New York City time) on any Base Rate Term SOFR Determination Day the Term SOFR Reference Rate for the applicable tenor has not been published by the CME Term SOFR Administrator and a Benchmark Replacement Date with respect to the Term SOFR Reference Rate has not occurred, then Term SOFR will be the Term SOFR Reference Rate for such tenor as published by the CME Term SOFR Administrator on the first preceding U.S. Government Securities Business Day for which such Term SOFR Reference Rate for such tenor was published by the CME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 Determination Day</w:t>
      </w:r>
      <w:r>
        <w:rPr>
          <w:rFonts w:ascii="Times New Roman" w:hAnsi="Times New Roman"/>
          <w:color w:val="000000"/>
          <w:sz w:val="20"/>
        </w:rPr>
        <w:t xml:space="preserve">” </w:t>
      </w:r>
      <w:r>
        <w:rPr>
          <w:rFonts w:ascii="Times New Roman" w:hAnsi="Times New Roman"/>
          <w:color w:val="000000"/>
          <w:sz w:val="22"/>
        </w:rPr>
        <w:t>has the meaning provided in the definition of “Term SOFR Reference Rate.”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Term SOFR Reference Rate</w:t>
      </w:r>
      <w:r>
        <w:rPr>
          <w:rFonts w:ascii="Times New Roman" w:hAnsi="Times New Roman"/>
          <w:color w:val="000000"/>
          <w:sz w:val="20"/>
        </w:rPr>
        <w:t xml:space="preserve">” </w:t>
      </w:r>
      <w:r>
        <w:rPr>
          <w:rFonts w:ascii="Times New Roman" w:hAnsi="Times New Roman"/>
          <w:color w:val="000000"/>
          <w:sz w:val="22"/>
        </w:rPr>
        <w:t>means the forward-looking term rate based on SOFR.</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Test Period</w:t>
      </w:r>
      <w:r>
        <w:rPr>
          <w:rFonts w:ascii="Times New Roman" w:hAnsi="Times New Roman"/>
          <w:color w:val="000000"/>
          <w:sz w:val="20"/>
        </w:rPr>
        <w:t xml:space="preserve">” </w:t>
      </w:r>
      <w:r>
        <w:rPr>
          <w:rFonts w:ascii="Times New Roman" w:hAnsi="Times New Roman"/>
          <w:color w:val="000000"/>
          <w:sz w:val="22"/>
        </w:rPr>
        <w:t xml:space="preserve">means, at any date of determination, the most recently completed four consecutive fiscal quarters of the Borrower ending on or prior to such date for which financial statements have been or are required to be delivered pursuant to </w:t>
      </w:r>
      <w:r>
        <w:rPr>
          <w:rFonts w:ascii="Times New Roman" w:hAnsi="Times New Roman"/>
          <w:color w:val="000000"/>
          <w:sz w:val="22"/>
          <w:u w:val="single"/>
        </w:rPr>
        <w:t>Section 4.01</w:t>
      </w:r>
      <w:r>
        <w:rPr>
          <w:rFonts w:ascii="Times New Roman" w:hAnsi="Times New Roman"/>
          <w:color w:val="000000"/>
          <w:sz w:val="22"/>
        </w:rPr>
        <w:t xml:space="preserve">,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6.01(b)</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Threshold Amount</w:t>
      </w:r>
      <w:r>
        <w:rPr>
          <w:rFonts w:ascii="Times New Roman" w:hAnsi="Times New Roman"/>
          <w:color w:val="000000"/>
          <w:sz w:val="20"/>
        </w:rPr>
        <w:t xml:space="preserve">” </w:t>
      </w:r>
      <w:r>
        <w:rPr>
          <w:rFonts w:ascii="Times New Roman" w:hAnsi="Times New Roman"/>
          <w:color w:val="000000"/>
          <w:sz w:val="22"/>
        </w:rPr>
        <w:t>means $20,000,000.</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Title Company</w:t>
      </w:r>
      <w:r>
        <w:rPr>
          <w:rFonts w:ascii="Times New Roman" w:hAnsi="Times New Roman"/>
          <w:color w:val="000000"/>
          <w:sz w:val="20"/>
        </w:rPr>
        <w:t xml:space="preserve">” </w:t>
      </w:r>
      <w:r>
        <w:rPr>
          <w:rFonts w:ascii="Times New Roman" w:hAnsi="Times New Roman"/>
          <w:color w:val="000000"/>
          <w:sz w:val="22"/>
        </w:rPr>
        <w:t>means any title insurance company as shall be retained by the Borrower to issue the Mortgage Policies and reasonably acceptable to the Administrative Agent.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Total Net Leverage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the result of (i) Consolidated Total Debt as of such date minus (ii) the lesser of (A) the aggregate amount of unrestricted cash and Cash Equivalents of the Borrower and its Restricted Subsidiaries (in each case, free and clear of all Liens other than any nonconsensual Lien that are permitted under the Loan Documents, Liens of the Collateral Agent and Liens that are subordinated to the Liens of the Collateral Agent pursuant to 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Acceptable Intercreditor Agreement) included in the consolidated balance sheet of the Borrower and its Restricted Subsidiaries as of such date and (B) 100% of Consolidated EBITDA for the most recently ended Test Period; to (b) Consolidated EBITDA of the Borrower and its Restricted Subsidiaries for the most recently ended Test Period, on a Pro Forma Basis.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Total Net Leverage Ratio Financial Covenant</w:t>
      </w:r>
      <w:r>
        <w:rPr>
          <w:rFonts w:ascii="Times New Roman" w:hAnsi="Times New Roman"/>
          <w:color w:val="000000"/>
          <w:sz w:val="20"/>
        </w:rPr>
        <w:t xml:space="preserve">” </w:t>
      </w:r>
      <w:r>
        <w:rPr>
          <w:rFonts w:ascii="Times New Roman" w:hAnsi="Times New Roman"/>
          <w:color w:val="000000"/>
          <w:sz w:val="22"/>
        </w:rPr>
        <w:t xml:space="preserve">means the financial covenant set forth in </w:t>
      </w:r>
      <w:r>
        <w:rPr>
          <w:rFonts w:ascii="Times New Roman" w:hAnsi="Times New Roman"/>
          <w:color w:val="000000"/>
          <w:sz w:val="22"/>
          <w:u w:val="single"/>
        </w:rPr>
        <w:t>Section 7.11</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Total Outstandings</w:t>
      </w:r>
      <w:r>
        <w:rPr>
          <w:rFonts w:ascii="Times New Roman" w:hAnsi="Times New Roman"/>
          <w:color w:val="000000"/>
          <w:sz w:val="20"/>
        </w:rPr>
        <w:t xml:space="preserve">” </w:t>
      </w:r>
      <w:r>
        <w:rPr>
          <w:rFonts w:ascii="Times New Roman" w:hAnsi="Times New Roman"/>
          <w:color w:val="000000"/>
          <w:sz w:val="22"/>
        </w:rPr>
        <w:t>means the aggregate Outstanding Amount of all Loans and all L/C Obligations.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Total Revolver Outstandings</w:t>
      </w:r>
      <w:r>
        <w:rPr>
          <w:rFonts w:ascii="Times New Roman" w:hAnsi="Times New Roman"/>
          <w:color w:val="000000"/>
          <w:sz w:val="20"/>
        </w:rPr>
        <w:t xml:space="preserve">” </w:t>
      </w:r>
      <w:r>
        <w:rPr>
          <w:rFonts w:ascii="Times New Roman" w:hAnsi="Times New Roman"/>
          <w:color w:val="000000"/>
          <w:sz w:val="22"/>
        </w:rPr>
        <w:t>means the aggregate Outstanding Amount of all Revolving Credit Loans.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Transaction Expenses</w:t>
      </w:r>
      <w:r>
        <w:rPr>
          <w:rFonts w:ascii="Times New Roman" w:hAnsi="Times New Roman"/>
          <w:color w:val="000000"/>
          <w:sz w:val="20"/>
        </w:rPr>
        <w:t xml:space="preserve">” </w:t>
      </w:r>
      <w:r>
        <w:rPr>
          <w:rFonts w:ascii="Times New Roman" w:hAnsi="Times New Roman"/>
          <w:color w:val="000000"/>
          <w:sz w:val="22"/>
        </w:rPr>
        <w:t>means any fees, costs or expenses incurred or paid by the Borrower or any Restricted Subsidiary in connection with the Transactions and the transactions contemplated in connection therewith.</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means, collectively, (a) the funding of the Initial Term Loans hereunder, (b) the repayment of the Existing Credit Agreement, (c) the execution and delivery of the Loan Documents, (d) the consummation of any other transactions in connection with the foregoing and (e) the payment of Transaction Expenses.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 xml:space="preserve">” </w:t>
      </w:r>
      <w:r>
        <w:rPr>
          <w:rFonts w:ascii="Times New Roman" w:hAnsi="Times New Roman"/>
          <w:color w:val="000000"/>
          <w:sz w:val="22"/>
        </w:rPr>
        <w:t>means, with respect to a Loan, its character as a Base Rate Loan or a SOFR Loan.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r>
        <w:rPr>
          <w:rFonts w:ascii="Times New Roman" w:hAnsi="Times New Roman"/>
          <w:color w:val="000000"/>
          <w:sz w:val="20"/>
        </w:rPr>
        <w:t xml:space="preserve">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Unaudited Financial Statements</w:t>
      </w:r>
      <w:r>
        <w:rPr>
          <w:rFonts w:ascii="Times New Roman" w:hAnsi="Times New Roman"/>
          <w:color w:val="000000"/>
          <w:sz w:val="20"/>
        </w:rPr>
        <w:t xml:space="preserve">” </w:t>
      </w:r>
      <w:r>
        <w:rPr>
          <w:rFonts w:ascii="Times New Roman" w:hAnsi="Times New Roman"/>
          <w:color w:val="000000"/>
          <w:sz w:val="22"/>
        </w:rPr>
        <w:t>means the unaudited balance sheet of the Borrower and the related unaudited statements of operation and cash flows as of and for the fiscal quarter ended October 31, 2022.</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Undisclosed Administration</w:t>
      </w:r>
      <w:r>
        <w:rPr>
          <w:rFonts w:ascii="Times New Roman" w:hAnsi="Times New Roman"/>
          <w:color w:val="000000"/>
          <w:sz w:val="20"/>
        </w:rPr>
        <w:t xml:space="preserve">” </w:t>
      </w:r>
      <w:r>
        <w:rPr>
          <w:rFonts w:ascii="Times New Roman" w:hAnsi="Times New Roman"/>
          <w:color w:val="000000"/>
          <w:sz w:val="22"/>
        </w:rPr>
        <w:t>means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Uniform Commercial Code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United States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U.S.</w:t>
      </w:r>
      <w:r>
        <w:rPr>
          <w:rFonts w:ascii="Times New Roman" w:hAnsi="Times New Roman"/>
          <w:color w:val="000000"/>
          <w:sz w:val="20"/>
        </w:rPr>
        <w:t xml:space="preserve">” </w:t>
      </w:r>
      <w:r>
        <w:rPr>
          <w:rFonts w:ascii="Times New Roman" w:hAnsi="Times New Roman"/>
          <w:color w:val="000000"/>
          <w:sz w:val="22"/>
        </w:rPr>
        <w:t>mean the United States of America.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United States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3.01(f)(ii)(C)</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Unreimbursed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w:t>
      </w:r>
      <w:r>
        <w:rPr>
          <w:rFonts w:ascii="Times New Roman" w:hAnsi="Times New Roman"/>
          <w:color w:val="000000"/>
          <w:sz w:val="22"/>
        </w:rPr>
        <w: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Unrestricted Subsidiary</w:t>
      </w:r>
      <w:r>
        <w:rPr>
          <w:rFonts w:ascii="Times New Roman" w:hAnsi="Times New Roman"/>
          <w:color w:val="000000"/>
          <w:sz w:val="20"/>
        </w:rPr>
        <w:t xml:space="preserve">” </w:t>
      </w:r>
      <w:r>
        <w:rPr>
          <w:rFonts w:ascii="Times New Roman" w:hAnsi="Times New Roman"/>
          <w:color w:val="000000"/>
          <w:sz w:val="22"/>
        </w:rPr>
        <w:t xml:space="preserve">means (i) each Subsidiary of the Borrower listed on </w:t>
      </w:r>
      <w:r>
        <w:rPr>
          <w:rFonts w:ascii="Times New Roman" w:hAnsi="Times New Roman"/>
          <w:color w:val="000000"/>
          <w:sz w:val="22"/>
          <w:u w:val="single"/>
        </w:rPr>
        <w:t>Schedule 1.01B</w:t>
      </w:r>
      <w:r>
        <w:rPr>
          <w:rFonts w:ascii="Times New Roman" w:hAnsi="Times New Roman"/>
          <w:color w:val="000000"/>
          <w:sz w:val="22"/>
        </w:rPr>
        <w:t xml:space="preserve">, (ii) any Subsidiary of the Borrower designated by the Borrower as an Unrestricted Subsidiary pursuant to </w:t>
      </w:r>
      <w:r>
        <w:rPr>
          <w:rFonts w:ascii="Times New Roman" w:hAnsi="Times New Roman"/>
          <w:color w:val="000000"/>
          <w:sz w:val="22"/>
          <w:u w:val="single"/>
        </w:rPr>
        <w:t>Section 6.14</w:t>
      </w:r>
      <w:r>
        <w:rPr>
          <w:rFonts w:ascii="Times New Roman" w:hAnsi="Times New Roman"/>
          <w:color w:val="000000"/>
          <w:sz w:val="20"/>
        </w:rPr>
        <w:t xml:space="preserve"> </w:t>
      </w:r>
      <w:r>
        <w:rPr>
          <w:rFonts w:ascii="Times New Roman" w:hAnsi="Times New Roman"/>
          <w:color w:val="000000"/>
          <w:sz w:val="22"/>
        </w:rPr>
        <w:t>subsequent to the date hereof and (iii) any Subsidiary of an Unrestricted Subsidiary.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 xml:space="preserve">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w:t>
      </w:r>
      <w:r>
        <w:rPr>
          <w:rFonts w:ascii="Times New Roman" w:hAnsi="Times New Roman"/>
          <w:color w:val="000000"/>
          <w:sz w:val="22"/>
          <w:u w:val="single"/>
        </w:rPr>
        <w:t>provided</w:t>
      </w:r>
      <w:r>
        <w:rPr>
          <w:rFonts w:ascii="Times New Roman" w:hAnsi="Times New Roman"/>
          <w:color w:val="000000"/>
          <w:sz w:val="22"/>
        </w:rPr>
        <w:t>, that for purposes of notice requirements based on U.S. Government Securities Business Days, such day is also a Business Day.</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USA PATRIOT Act</w:t>
      </w:r>
      <w:r>
        <w:rPr>
          <w:rFonts w:ascii="Times New Roman" w:hAnsi="Times New Roman"/>
          <w:color w:val="000000"/>
          <w:sz w:val="20"/>
        </w:rPr>
        <w:t xml:space="preserve">” </w:t>
      </w:r>
      <w:r>
        <w:rPr>
          <w:rFonts w:ascii="Times New Roman" w:hAnsi="Times New Roman"/>
          <w:color w:val="000000"/>
          <w:sz w:val="22"/>
        </w:rPr>
        <w:t>means The Uniting and Strengthening America by Providing Appropriate Tools Required to Intercept and Obstruct Terrorism Act of 2001 (Title III of Pub. L. No. 107-56 (signed into law October 26, 2001)), as amended or modified from time to time.</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Weighted Average Life to Maturity</w:t>
      </w:r>
      <w:r>
        <w:rPr>
          <w:rFonts w:ascii="Times New Roman" w:hAnsi="Times New Roman"/>
          <w:color w:val="000000"/>
          <w:sz w:val="20"/>
        </w:rPr>
        <w:t xml:space="preserve">” </w:t>
      </w:r>
      <w:r>
        <w:rPr>
          <w:rFonts w:ascii="Times New Roman" w:hAnsi="Times New Roman"/>
          <w:color w:val="000000"/>
          <w:sz w:val="22"/>
        </w:rPr>
        <w:t>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Wells Fargo</w:t>
      </w:r>
      <w:r>
        <w:rPr>
          <w:rFonts w:ascii="Times New Roman" w:hAnsi="Times New Roman"/>
          <w:color w:val="000000"/>
          <w:sz w:val="20"/>
        </w:rPr>
        <w:t xml:space="preserve">” </w:t>
      </w:r>
      <w:r>
        <w:rPr>
          <w:rFonts w:ascii="Times New Roman" w:hAnsi="Times New Roman"/>
          <w:color w:val="000000"/>
          <w:sz w:val="22"/>
        </w:rPr>
        <w:t>has the meaning specified in the introductory paragraph to this Agreement.</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Wholly Owned</w:t>
      </w:r>
      <w:r>
        <w:rPr>
          <w:rFonts w:ascii="Times New Roman" w:hAnsi="Times New Roman"/>
          <w:color w:val="000000"/>
          <w:sz w:val="20"/>
        </w:rPr>
        <w:t xml:space="preserve">” </w:t>
      </w:r>
      <w:r>
        <w:rPr>
          <w:rFonts w:ascii="Times New Roman" w:hAnsi="Times New Roman"/>
          <w:color w:val="000000"/>
          <w:sz w:val="22"/>
        </w:rPr>
        <w:t>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Withdrawal Liability</w:t>
      </w:r>
      <w:r>
        <w:rPr>
          <w:rFonts w:ascii="Times New Roman" w:hAnsi="Times New Roman"/>
          <w:color w:val="000000"/>
          <w:sz w:val="20"/>
        </w:rPr>
        <w:t xml:space="preserve">” </w:t>
      </w:r>
      <w:r>
        <w:rPr>
          <w:rFonts w:ascii="Times New Roman" w:hAnsi="Times New Roman"/>
          <w:color w:val="000000"/>
          <w:sz w:val="22"/>
        </w:rPr>
        <w:t>means the liability to a Multiemployer Plan as a result of a “complete withdrawal” or “partial withdrawal” from such Multiemployer Plan, as such terms are defined in Part I of Subtitle E of Title IV of ERISA.</w:t>
      </w:r>
    </w:p>
    <w:p>
      <w:pPr>
        <w:pStyle w:val="TextBody"/>
        <w:bidi w:val="0"/>
        <w:spacing w:before="0" w:after="240"/>
        <w:ind w:left="0" w:right="0" w:firstLine="72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 </w:t>
      </w:r>
      <w:r>
        <w:rPr>
          <w:rFonts w:ascii="Times New Roman" w:hAnsi="Times New Roman"/>
          <w:b w:val="false"/>
          <w:color w:val="000000"/>
          <w:sz w:val="22"/>
          <w:u w:val="single"/>
        </w:rPr>
        <w:t>Other Interpretive Provisions</w:t>
      </w:r>
      <w:r>
        <w:rPr>
          <w:rFonts w:ascii="Times New Roman" w:hAnsi="Times New Roman"/>
          <w:b w:val="false"/>
          <w:color w:val="000000"/>
          <w:sz w:val="22"/>
        </w:rPr>
        <w:t>. With reference to this Agreement and each other Loan Document, unless otherwise specified herein or in such other Loan Document: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The meanings of defined terms are equally applicable to the singular and plural forms of the defined terms.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(i) The words “</w:t>
      </w:r>
      <w:r>
        <w:rPr>
          <w:rFonts w:ascii="Times New Roman" w:hAnsi="Times New Roman"/>
          <w:color w:val="000000"/>
          <w:sz w:val="22"/>
          <w:u w:val="single"/>
        </w:rPr>
        <w:t>herein</w:t>
      </w:r>
      <w:r>
        <w:rPr>
          <w:rFonts w:ascii="Times New Roman" w:hAnsi="Times New Roman"/>
          <w:color w:val="000000"/>
          <w:sz w:val="22"/>
        </w:rPr>
        <w:t>,” “</w:t>
      </w:r>
      <w:r>
        <w:rPr>
          <w:rFonts w:ascii="Times New Roman" w:hAnsi="Times New Roman"/>
          <w:color w:val="000000"/>
          <w:sz w:val="22"/>
          <w:u w:val="single"/>
        </w:rPr>
        <w:t>hereto</w:t>
      </w:r>
      <w:r>
        <w:rPr>
          <w:rFonts w:ascii="Times New Roman" w:hAnsi="Times New Roman"/>
          <w:color w:val="000000"/>
          <w:sz w:val="22"/>
        </w:rPr>
        <w:t>,” “</w:t>
      </w:r>
      <w:r>
        <w:rPr>
          <w:rFonts w:ascii="Times New Roman" w:hAnsi="Times New Roman"/>
          <w:color w:val="000000"/>
          <w:sz w:val="22"/>
          <w:u w:val="single"/>
        </w:rPr>
        <w:t>hereof</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hereunder</w:t>
      </w:r>
      <w:r>
        <w:rPr>
          <w:rFonts w:ascii="Times New Roman" w:hAnsi="Times New Roman"/>
          <w:color w:val="000000"/>
          <w:sz w:val="20"/>
        </w:rPr>
        <w:t xml:space="preserve">” </w:t>
      </w:r>
      <w:r>
        <w:rPr>
          <w:rFonts w:ascii="Times New Roman" w:hAnsi="Times New Roman"/>
          <w:color w:val="000000"/>
          <w:sz w:val="22"/>
        </w:rPr>
        <w:t>and words of similar import when used in any Loan Document shall refer to such Loan Document as a whole and not to any particular provision thereof.</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Article, Section, Exhibit and Schedule references are to the Loan Document in which such reference appears.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(iii) The term “</w:t>
      </w:r>
      <w:r>
        <w:rPr>
          <w:rFonts w:ascii="Times New Roman" w:hAnsi="Times New Roman"/>
          <w:color w:val="000000"/>
          <w:sz w:val="22"/>
          <w:u w:val="single"/>
        </w:rPr>
        <w:t>including</w:t>
      </w:r>
      <w:r>
        <w:rPr>
          <w:rFonts w:ascii="Times New Roman" w:hAnsi="Times New Roman"/>
          <w:color w:val="000000"/>
          <w:sz w:val="20"/>
        </w:rPr>
        <w:t xml:space="preserve">” </w:t>
      </w:r>
      <w:r>
        <w:rPr>
          <w:rFonts w:ascii="Times New Roman" w:hAnsi="Times New Roman"/>
          <w:color w:val="000000"/>
          <w:sz w:val="22"/>
        </w:rPr>
        <w:t>is by way of example and not limitation.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(iv) The term “</w:t>
      </w:r>
      <w:r>
        <w:rPr>
          <w:rFonts w:ascii="Times New Roman" w:hAnsi="Times New Roman"/>
          <w:color w:val="000000"/>
          <w:sz w:val="22"/>
          <w:u w:val="single"/>
        </w:rPr>
        <w:t>documents</w:t>
      </w:r>
      <w:r>
        <w:rPr>
          <w:rFonts w:ascii="Times New Roman" w:hAnsi="Times New Roman"/>
          <w:color w:val="000000"/>
          <w:sz w:val="20"/>
        </w:rPr>
        <w:t xml:space="preserve">” </w:t>
      </w:r>
      <w:r>
        <w:rPr>
          <w:rFonts w:ascii="Times New Roman" w:hAnsi="Times New Roman"/>
          <w:color w:val="000000"/>
          <w:sz w:val="22"/>
        </w:rPr>
        <w:t>includes any and all instruments, documents, agreements, certificates, notices, reports, financial statements and other writings, however evidenced, whether in physical or electronic form.</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(c) In the computation of periods of time from a specified date to a later specified date, the word “</w:t>
      </w:r>
      <w:r>
        <w:rPr>
          <w:rFonts w:ascii="Times New Roman" w:hAnsi="Times New Roman"/>
          <w:color w:val="000000"/>
          <w:sz w:val="22"/>
          <w:u w:val="single"/>
        </w:rPr>
        <w:t>from</w:t>
      </w:r>
      <w:r>
        <w:rPr>
          <w:rFonts w:ascii="Times New Roman" w:hAnsi="Times New Roman"/>
          <w:color w:val="000000"/>
          <w:sz w:val="20"/>
        </w:rPr>
        <w:t xml:space="preserve">” </w:t>
      </w:r>
      <w:r>
        <w:rPr>
          <w:rFonts w:ascii="Times New Roman" w:hAnsi="Times New Roman"/>
          <w:color w:val="000000"/>
          <w:sz w:val="22"/>
        </w:rPr>
        <w:t>means “</w:t>
      </w:r>
      <w:r>
        <w:rPr>
          <w:rFonts w:ascii="Times New Roman" w:hAnsi="Times New Roman"/>
          <w:color w:val="000000"/>
          <w:sz w:val="22"/>
          <w:u w:val="single"/>
        </w:rPr>
        <w:t>from and including</w:t>
      </w:r>
      <w:r>
        <w:rPr>
          <w:rFonts w:ascii="Times New Roman" w:hAnsi="Times New Roman"/>
          <w:color w:val="000000"/>
          <w:sz w:val="20"/>
        </w:rPr>
        <w:t>”</w:t>
      </w:r>
      <w:r>
        <w:rPr>
          <w:rFonts w:ascii="Times New Roman" w:hAnsi="Times New Roman"/>
          <w:color w:val="000000"/>
          <w:sz w:val="22"/>
        </w:rPr>
        <w:t>; the words “</w:t>
      </w:r>
      <w:r>
        <w:rPr>
          <w:rFonts w:ascii="Times New Roman" w:hAnsi="Times New Roman"/>
          <w:color w:val="000000"/>
          <w:sz w:val="22"/>
          <w:u w:val="single"/>
        </w:rPr>
        <w:t>to</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until</w:t>
      </w:r>
      <w:r>
        <w:rPr>
          <w:rFonts w:ascii="Times New Roman" w:hAnsi="Times New Roman"/>
          <w:color w:val="000000"/>
          <w:sz w:val="20"/>
        </w:rPr>
        <w:t xml:space="preserve">” </w:t>
      </w:r>
      <w:r>
        <w:rPr>
          <w:rFonts w:ascii="Times New Roman" w:hAnsi="Times New Roman"/>
          <w:color w:val="000000"/>
          <w:sz w:val="22"/>
        </w:rPr>
        <w:t>each mean “</w:t>
      </w:r>
      <w:r>
        <w:rPr>
          <w:rFonts w:ascii="Times New Roman" w:hAnsi="Times New Roman"/>
          <w:color w:val="000000"/>
          <w:sz w:val="22"/>
          <w:u w:val="single"/>
        </w:rPr>
        <w:t>to but excluding</w:t>
      </w:r>
      <w:r>
        <w:rPr>
          <w:rFonts w:ascii="Times New Roman" w:hAnsi="Times New Roman"/>
          <w:color w:val="000000"/>
          <w:sz w:val="20"/>
        </w:rPr>
        <w:t>”</w:t>
      </w:r>
      <w:r>
        <w:rPr>
          <w:rFonts w:ascii="Times New Roman" w:hAnsi="Times New Roman"/>
          <w:color w:val="000000"/>
          <w:sz w:val="22"/>
        </w:rPr>
        <w:t>; and the word “</w:t>
      </w:r>
      <w:r>
        <w:rPr>
          <w:rFonts w:ascii="Times New Roman" w:hAnsi="Times New Roman"/>
          <w:color w:val="000000"/>
          <w:sz w:val="22"/>
          <w:u w:val="single"/>
        </w:rPr>
        <w:t>through</w:t>
      </w:r>
      <w:r>
        <w:rPr>
          <w:rFonts w:ascii="Times New Roman" w:hAnsi="Times New Roman"/>
          <w:color w:val="000000"/>
          <w:sz w:val="20"/>
        </w:rPr>
        <w:t xml:space="preserve">” </w:t>
      </w:r>
      <w:r>
        <w:rPr>
          <w:rFonts w:ascii="Times New Roman" w:hAnsi="Times New Roman"/>
          <w:color w:val="000000"/>
          <w:sz w:val="22"/>
        </w:rPr>
        <w:t>means “</w:t>
      </w:r>
      <w:r>
        <w:rPr>
          <w:rFonts w:ascii="Times New Roman" w:hAnsi="Times New Roman"/>
          <w:color w:val="000000"/>
          <w:sz w:val="22"/>
          <w:u w:val="single"/>
        </w:rPr>
        <w:t>to and including</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Section headings herein and in the other Loan Documents are included for convenience of reference only and shall not affect the interpretation of this Agreement or any other Loan Document.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Any reference herein or in any other Loan Document to the satisfaction, repayment, or payment in full of the Obligations shall mean (i) the payment or repayment in full in immediately available funds of (A) the principal amount of, and interest accrued and unpaid with respect to, all outstanding Loans, together with the payment of any premium applicable to the repayment of the Loans, (B) all expenses that have accrued and are unpaid for which a demand has been made, and (C) all fees or charges that have accrued hereunder or under any other Loan Document and are unpaid, (ii) in the case of contingent reimbursement obligations with respect to Letters of Credit, providing Cash Collateralization (determined as of the date of repayment or payment, as applicable) or backstop or other arrangement acceptable to the applicable L/C Issuer, ((iii) the payment or repayment in full in immediately available funds of all other outstanding Obligations (including, if required by the Hedge Bank, the payment of any termination amount then applicable (or which would or could become applicable as a result of the repayment of the other Obligations) under Secured Hedge Agreements), other than (x) unasserted contingent indemnification Obligations, and (y) any Cash Management Obligations and/or obligations under Secured Hedge Agreements that, at such time, are allowed by the applicable Secured Party to remain outstanding, and that have been Cash Collateralized or otherwise backstopped as agreed by the applicable Secured Party, and (iv) the termination of all of the Commitments of the Lenders.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1.03 </w:t>
      </w:r>
      <w:r>
        <w:rPr>
          <w:rFonts w:ascii="Times New Roman" w:hAnsi="Times New Roman"/>
          <w:b w:val="false"/>
          <w:color w:val="000000"/>
          <w:sz w:val="22"/>
          <w:u w:val="single"/>
        </w:rPr>
        <w:t>Accounting Terms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balance sheet of the Borrower and the related audited statements of operation and cash flows as of and for the fiscal year ended January 31, 2026 except as otherwise specifically prescribed herein.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Notwithstanding anything to the contrary herein, for purposes of determining compliance with any test contained in this Agreement with respect to any period during which any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Specified Transaction occurs, Total Net Leverage Ratio and First Lien Net Leverage Ratio shall be calculated with respect to such period and such Specified Transaction on a Pro Forma Basis.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Where reference is made to “the Borrower and its Restricted Subsidiaries on a consolidated basis” or similar language, such consolidation shall not include any Subsidiaries of the Borrower other than Restricted Subsidiaries.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(d) In the event that the Borrower elects to prepare its financial statements in accordance with IFRS and such election results in a change in the method of calculation of financial covenants, standards or terms (collectively, the “</w:t>
      </w:r>
      <w:r>
        <w:rPr>
          <w:rFonts w:ascii="Times New Roman" w:hAnsi="Times New Roman"/>
          <w:color w:val="000000"/>
          <w:sz w:val="22"/>
          <w:u w:val="single"/>
        </w:rPr>
        <w:t>Accounting Changes</w:t>
      </w:r>
      <w:r>
        <w:rPr>
          <w:rFonts w:ascii="Times New Roman" w:hAnsi="Times New Roman"/>
          <w:color w:val="000000"/>
          <w:sz w:val="20"/>
        </w:rPr>
        <w:t>”</w:t>
      </w:r>
      <w:r>
        <w:rPr>
          <w:rFonts w:ascii="Times New Roman" w:hAnsi="Times New Roman"/>
          <w:color w:val="000000"/>
          <w:sz w:val="22"/>
        </w:rPr>
        <w:t>) in this Agreement, the Borrower and the Administrative Agent agree to enter into good faith negotiations in order to amend such provisions of this Agreement (including the levels applicable herein to any computation of the Total Net Leverage Ratio or First Lien Net Leverage Ratio) so as to reflect equitably the Accounting Changes with the desired result that the criteria for evaluating the Borrower’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1.04 </w:t>
      </w:r>
      <w:r>
        <w:rPr>
          <w:rFonts w:ascii="Times New Roman" w:hAnsi="Times New Roman"/>
          <w:b w:val="false"/>
          <w:color w:val="000000"/>
          <w:sz w:val="22"/>
          <w:u w:val="single"/>
        </w:rPr>
        <w:t>Rounding</w:t>
      </w:r>
      <w:r>
        <w:rPr>
          <w:rFonts w:ascii="Times New Roman" w:hAnsi="Times New Roman"/>
          <w:b w:val="false"/>
          <w:color w:val="000000"/>
          <w:sz w:val="22"/>
        </w:rPr>
        <w:t>. Any financial ratios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1.05 </w:t>
      </w:r>
      <w:r>
        <w:rPr>
          <w:rFonts w:ascii="Times New Roman" w:hAnsi="Times New Roman"/>
          <w:b w:val="false"/>
          <w:color w:val="000000"/>
          <w:sz w:val="22"/>
          <w:u w:val="single"/>
        </w:rPr>
        <w:t>References to Agreements, Laws, Etc.</w:t>
      </w:r>
      <w:r>
        <w:rPr>
          <w:rFonts w:ascii="Times New Roman" w:hAnsi="Times New Roman"/>
          <w:color w:val="000000"/>
          <w:sz w:val="20"/>
        </w:rPr>
        <w:t xml:space="preserve"> </w:t>
      </w:r>
      <w:r>
        <w:rPr>
          <w:rFonts w:ascii="Times New Roman" w:hAnsi="Times New Roman"/>
          <w:b w:val="false"/>
          <w:color w:val="000000"/>
          <w:sz w:val="22"/>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(b) references to any Law shall include all statutory and regulatory provisions consolidating, amending, replacing, supplementing or interpreting such Law; and (c) any reference herein to any Person shall be construed to include such Person’s successors and permitted assigns.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1.06 </w:t>
      </w:r>
      <w:r>
        <w:rPr>
          <w:rFonts w:ascii="Times New Roman" w:hAnsi="Times New Roman"/>
          <w:b w:val="false"/>
          <w:color w:val="000000"/>
          <w:sz w:val="22"/>
          <w:u w:val="single"/>
        </w:rPr>
        <w:t>Times of Day</w:t>
      </w:r>
      <w:r>
        <w:rPr>
          <w:rFonts w:ascii="Times New Roman" w:hAnsi="Times New Roman"/>
          <w:b w:val="false"/>
          <w:color w:val="000000"/>
          <w:sz w:val="22"/>
        </w:rPr>
        <w:t>. Unless otherwise specified, all references herein to times of day shall be references to Pacific time (daylight or standard, as applicable).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1.07 </w:t>
      </w:r>
      <w:r>
        <w:rPr>
          <w:rFonts w:ascii="Times New Roman" w:hAnsi="Times New Roman"/>
          <w:b w:val="false"/>
          <w:color w:val="000000"/>
          <w:sz w:val="22"/>
          <w:u w:val="single"/>
        </w:rPr>
        <w:t>Timing of Payment or Performance</w:t>
      </w:r>
      <w:r>
        <w:rPr>
          <w:rFonts w:ascii="Times New Roman" w:hAnsi="Times New Roman"/>
          <w:b w:val="false"/>
          <w:color w:val="000000"/>
          <w:sz w:val="22"/>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1.08 </w:t>
      </w:r>
      <w:r>
        <w:rPr>
          <w:rFonts w:ascii="Times New Roman" w:hAnsi="Times New Roman"/>
          <w:b w:val="false"/>
          <w:color w:val="000000"/>
          <w:sz w:val="22"/>
          <w:u w:val="single"/>
        </w:rPr>
        <w:t>Currency Equivalents Generally</w:t>
      </w:r>
      <w:r>
        <w:rPr>
          <w:rFonts w:ascii="Times New Roman" w:hAnsi="Times New Roman"/>
          <w:b w:val="false"/>
          <w:color w:val="000000"/>
          <w:sz w:val="22"/>
        </w:rPr>
        <w:t xml:space="preserve">. For purposes of determining compliance under </w:t>
      </w:r>
      <w:r>
        <w:rPr>
          <w:rFonts w:ascii="Times New Roman" w:hAnsi="Times New Roman"/>
          <w:b w:val="false"/>
          <w:color w:val="000000"/>
          <w:sz w:val="22"/>
          <w:u w:val="single"/>
        </w:rPr>
        <w:t>Sections 7.02</w:t>
      </w:r>
      <w:r>
        <w:rPr>
          <w:rFonts w:ascii="Times New Roman" w:hAnsi="Times New Roman"/>
          <w:b w:val="false"/>
          <w:color w:val="000000"/>
          <w:sz w:val="22"/>
        </w:rPr>
        <w:t xml:space="preserve">, </w:t>
      </w:r>
      <w:r>
        <w:rPr>
          <w:rFonts w:ascii="Times New Roman" w:hAnsi="Times New Roman"/>
          <w:b w:val="false"/>
          <w:color w:val="000000"/>
          <w:sz w:val="22"/>
          <w:u w:val="single"/>
        </w:rPr>
        <w:t>7.05</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7.06</w:t>
      </w:r>
      <w:r>
        <w:rPr>
          <w:rFonts w:ascii="Times New Roman" w:hAnsi="Times New Roman"/>
          <w:b w:val="false"/>
          <w:color w:val="000000"/>
          <w:sz w:val="22"/>
        </w:rPr>
        <w:t xml:space="preserve">, any amount in a currency other than Dollars will be converted to Dollars in a manner consistent with that used in calculating net income in the Borrower’s annual financial statements delivered pursuant to </w:t>
      </w:r>
      <w:r>
        <w:rPr>
          <w:rFonts w:ascii="Times New Roman" w:hAnsi="Times New Roman"/>
          <w:b w:val="false"/>
          <w:color w:val="000000"/>
          <w:sz w:val="22"/>
          <w:u w:val="single"/>
        </w:rPr>
        <w:t>Section 6.01(a)</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the foregoing shall not be deemed to apply to the determination of any amount of Indebtedness.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1.09 </w:t>
      </w:r>
      <w:r>
        <w:rPr>
          <w:rFonts w:ascii="Times New Roman" w:hAnsi="Times New Roman"/>
          <w:b w:val="false"/>
          <w:color w:val="000000"/>
          <w:sz w:val="22"/>
          <w:u w:val="single"/>
        </w:rPr>
        <w:t>Certain Calculations and Tests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Notwithstanding anything in this Agreement or any Loan Document to the contrary, when calculating any applicable ratio or determining other compliance with this Agreement (including the determination of compliance with any provision of this Agreement which requires that no Default or Event of Default has occurred, is continuing or would result therefrom (excluding in all cases any Specified Event of Default) in connection with a Specified Transaction (other than a Restricted Payment) undertaken in connection with the consummation of a Limited Condition Transaction, the date of determination of such ratio or other applicable covenant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Times New Roman" w:hAnsi="Times New Roman"/>
          <w:color w:val="000000"/>
          <w:sz w:val="22"/>
          <w:u w:val="single"/>
        </w:rPr>
        <w:t>LCA Election</w:t>
      </w:r>
      <w:r>
        <w:rPr>
          <w:rFonts w:ascii="Times New Roman" w:hAnsi="Times New Roman"/>
          <w:color w:val="000000"/>
          <w:sz w:val="20"/>
        </w:rPr>
        <w:t>”</w:t>
      </w:r>
      <w:r>
        <w:rPr>
          <w:rFonts w:ascii="Times New Roman" w:hAnsi="Times New Roman"/>
          <w:color w:val="000000"/>
          <w:sz w:val="22"/>
        </w:rPr>
        <w:t>), be deemed to be either (i) the date that the definitive agreements for such Limited Condition Transaction are entered into or (ii) solely in connection with an acquisition to which the United Kingdom City Code on Takeovers and Mergers (the “</w:t>
      </w:r>
      <w:r>
        <w:rPr>
          <w:rFonts w:ascii="Times New Roman" w:hAnsi="Times New Roman"/>
          <w:color w:val="000000"/>
          <w:sz w:val="22"/>
          <w:u w:val="single"/>
        </w:rPr>
        <w:t>City Code</w:t>
      </w:r>
      <w:r>
        <w:rPr>
          <w:rFonts w:ascii="Times New Roman" w:hAnsi="Times New Roman"/>
          <w:color w:val="000000"/>
          <w:sz w:val="20"/>
        </w:rPr>
        <w:t>”</w:t>
      </w:r>
      <w:r>
        <w:rPr>
          <w:rFonts w:ascii="Times New Roman" w:hAnsi="Times New Roman"/>
          <w:color w:val="000000"/>
          <w:sz w:val="22"/>
        </w:rPr>
        <w:t>) applies, the date on which a “Rule 2.7 announcement” of a firm intention to make an offer in respect of a target company is made in compliance with the City Code (in each case, the “</w:t>
      </w:r>
      <w:r>
        <w:rPr>
          <w:rFonts w:ascii="Times New Roman" w:hAnsi="Times New Roman"/>
          <w:color w:val="000000"/>
          <w:sz w:val="22"/>
          <w:u w:val="single"/>
        </w:rPr>
        <w:t>LCA Test Date</w:t>
      </w:r>
      <w:r>
        <w:rPr>
          <w:rFonts w:ascii="Times New Roman" w:hAnsi="Times New Roman"/>
          <w:color w:val="000000"/>
          <w:sz w:val="20"/>
        </w:rPr>
        <w:t>”</w:t>
      </w:r>
      <w:r>
        <w:rPr>
          <w:rFonts w:ascii="Times New Roman" w:hAnsi="Times New Roman"/>
          <w:color w:val="000000"/>
          <w:sz w:val="22"/>
        </w:rPr>
        <w:t>) and if, after such ratios and other provisions are measured on a Pro Forma Basis after giving effect to such Limited Condition Transaction and the other Specified Transactions (other than Dispositions or Restricted Payments) to be entered into in connection therewith (including any incurrence of Indebtedness and the use of proceeds thereof) as if they occurred at the beginning of the four consecutive fiscal quarter period being used to calculate such financial ratio ending prior to the LCA Test Date, the Borrower or Restricted Subsidiary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EBITDA of the Borrower and its Restricted Subsidiaries) at or prior to the consummation of the relevant Limited Condition Transaction, such ratios and other provisions will not be deemed to have been exceeded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(other than Dispositions or Restricted Payments). If the Borrower has made an LCA Election for any Limited Condition Transaction, then in connection with any subsequent calculation of any ratio or basket availability with respect to any other Specified Transaction on or following the relevant LCA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any such ratio or basket shall be calculated (and shall be required to be satisfied) (A) with respect to any Specified Transaction other than a Restricted Payment or prepayment of Specified Indebtedness, on a Pro Forma Basis assuming such Limited Condition Transaction and other transactions in connection therewith (including any incurrence of Indebtedness and the use of proceeds thereof) have been consummated and (B) with respect to a Restricted Payment or prepayment of Specified Indebtedness both (1) on a Pro Forma Basis assuming such Limited Condition Transaction and other transactions in connection therewith (including any incurrence of Indebtedness and the use of proceeds thereof) have been consummated and (2) on a Pro Forma Basis assuming such Limited Condition Transaction and other transactions in connection therewith (including any incurrence of Indebtedness and the use of proceeds thereof) have not and will not be consummated. Notwithstanding to the contrary herein, the Borrower shall not be permitted to make an LCA Election in connection with the incurrence of Revolving Credit Loans (except in connection with a committed Incremental Revolving Commitment).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Notwithstanding anything to the contrary herein, with respect to any amounts incurred or transactions entered into (or consummated) in reliance on a provision of this Agreement that does not require compliance with a financial ratio or test (including, without limitation, pro forma compliance with any Total Net Leverage Ratio test, First Lien Net Leverage Ratio test or Liquidity test) (any such amounts, the “</w:t>
      </w:r>
      <w:r>
        <w:rPr>
          <w:rFonts w:ascii="Times New Roman" w:hAnsi="Times New Roman"/>
          <w:color w:val="000000"/>
          <w:sz w:val="22"/>
          <w:u w:val="single"/>
        </w:rPr>
        <w:t>Fixed Amounts</w:t>
      </w:r>
      <w:r>
        <w:rPr>
          <w:rFonts w:ascii="Times New Roman" w:hAnsi="Times New Roman"/>
          <w:color w:val="000000"/>
          <w:sz w:val="20"/>
        </w:rPr>
        <w:t>”</w:t>
      </w:r>
      <w:r>
        <w:rPr>
          <w:rFonts w:ascii="Times New Roman" w:hAnsi="Times New Roman"/>
          <w:color w:val="000000"/>
          <w:sz w:val="22"/>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hAnsi="Times New Roman"/>
          <w:color w:val="000000"/>
          <w:sz w:val="22"/>
          <w:u w:val="single"/>
        </w:rPr>
        <w:t>Incurrence Based Amounts</w:t>
      </w:r>
      <w:r>
        <w:rPr>
          <w:rFonts w:ascii="Times New Roman" w:hAnsi="Times New Roman"/>
          <w:color w:val="000000"/>
          <w:sz w:val="20"/>
        </w:rPr>
        <w:t>”</w:t>
      </w:r>
      <w:r>
        <w:rPr>
          <w:rFonts w:ascii="Times New Roman" w:hAnsi="Times New Roman"/>
          <w:color w:val="000000"/>
          <w:sz w:val="22"/>
        </w:rPr>
        <w:t xml:space="preserve">), it is understood and agreed that (i) the Fixed Amounts (and any cash proceeds thereof) and (ii) any Indebtedness resulting from borrowings under the Revolving Credit Facility which occur concurrently or substantially concurrently with the incurrence of the Incurrence Based Amounts shall in each case (other than with respect to the making of Restricted Payments under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 xml:space="preserve">or the repayment of any Specified Indebtedness under </w:t>
      </w:r>
      <w:r>
        <w:rPr>
          <w:rFonts w:ascii="Times New Roman" w:hAnsi="Times New Roman"/>
          <w:color w:val="000000"/>
          <w:sz w:val="22"/>
          <w:u w:val="single"/>
        </w:rPr>
        <w:t>Section 7.08</w:t>
      </w:r>
      <w:r>
        <w:rPr>
          <w:rFonts w:ascii="Times New Roman" w:hAnsi="Times New Roman"/>
          <w:color w:val="000000"/>
          <w:sz w:val="22"/>
        </w:rPr>
        <w:t>) be disregarded in the calculation of the financial ratio or test applicable to the Incurrence Based Amounts in connection with such substantially concurrent incurrence.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Notwithstanding anything to the contrary herein, for purposes of the covenants described in </w:t>
      </w:r>
      <w:r>
        <w:rPr>
          <w:rFonts w:ascii="Times New Roman" w:hAnsi="Times New Roman"/>
          <w:color w:val="000000"/>
          <w:sz w:val="22"/>
          <w:u w:val="single"/>
        </w:rPr>
        <w:t>Article VII</w:t>
      </w:r>
      <w:r>
        <w:rPr>
          <w:rFonts w:ascii="Times New Roman" w:hAnsi="Times New Roman"/>
          <w:color w:val="000000"/>
          <w:sz w:val="22"/>
        </w:rPr>
        <w:t xml:space="preserve">, if any Indebtedness, Lien, Investment, Disposition, Restricted Payment or repayment of Specified Indebtedness (or a portion thereof) (other than the Transactions and any Incremental Facilities) would be permitted pursuant to one or more provisions described therein, the Borrower may divide and classify such Indebtedness, Liens, Investments, Disposition, Restricted Payment or repayment of Specified Indebtedness (or a portion thereof) in any manner that complies with the covenants set forth in </w:t>
      </w:r>
      <w:r>
        <w:rPr>
          <w:rFonts w:ascii="Times New Roman" w:hAnsi="Times New Roman"/>
          <w:color w:val="000000"/>
          <w:sz w:val="22"/>
          <w:u w:val="single"/>
        </w:rPr>
        <w:t>Article VII</w:t>
      </w:r>
      <w:r>
        <w:rPr>
          <w:rFonts w:ascii="Times New Roman" w:hAnsi="Times New Roman"/>
          <w:color w:val="000000"/>
          <w:sz w:val="22"/>
        </w:rPr>
        <w:t xml:space="preserve">, and may later divide and reclassify any such Indebtedness, Lien, Investment, Disposition, Restricted Payment or repayment of Specified Indebtedness so long as the Indebtedness, Lien, Investment, Disposition, Restricted Payment or repayment of Specified Indebtedness (as so redivided and/or reclassified) would be permitted to be made in reliance on the applicable exception as of the date of such redivision or reclassification; provided that, to the extent the Borrower elects divide or reclassify any such Indebtedness, Liens, Investments, Disposition, Restricted Payment or repayment of Specified Indebtedness (or a portion thereof), such division or reclassification may only be made within the same covenant (i.e. amounts incurred under </w:t>
      </w:r>
      <w:r>
        <w:rPr>
          <w:rFonts w:ascii="Times New Roman" w:hAnsi="Times New Roman"/>
          <w:color w:val="000000"/>
          <w:sz w:val="22"/>
          <w:u w:val="single"/>
        </w:rPr>
        <w:t>the Indebtedness covenant</w:t>
      </w:r>
      <w:r>
        <w:rPr>
          <w:rFonts w:ascii="Times New Roman" w:hAnsi="Times New Roman"/>
          <w:color w:val="000000"/>
          <w:sz w:val="20"/>
        </w:rPr>
        <w:t xml:space="preserve"> </w:t>
      </w:r>
      <w:r>
        <w:rPr>
          <w:rFonts w:ascii="Times New Roman" w:hAnsi="Times New Roman"/>
          <w:color w:val="000000"/>
          <w:sz w:val="22"/>
        </w:rPr>
        <w:t xml:space="preserve">may only be reclassified within the same </w:t>
      </w:r>
      <w:r>
        <w:rPr>
          <w:rFonts w:ascii="Times New Roman" w:hAnsi="Times New Roman"/>
          <w:color w:val="000000"/>
          <w:sz w:val="22"/>
          <w:u w:val="single"/>
        </w:rPr>
        <w:t>Indebtedness covenant)</w:t>
      </w:r>
      <w:r>
        <w:rPr>
          <w:rFonts w:ascii="Times New Roman" w:hAnsi="Times New Roman"/>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1.10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1.11 </w:t>
      </w:r>
      <w:r>
        <w:rPr>
          <w:rFonts w:ascii="Times New Roman" w:hAnsi="Times New Roman"/>
          <w:b w:val="false"/>
          <w:color w:val="000000"/>
          <w:sz w:val="22"/>
          <w:u w:val="single"/>
        </w:rPr>
        <w:t>Letter of Credit Amounts</w:t>
      </w:r>
      <w:r>
        <w:rPr>
          <w:rFonts w:ascii="Times New Roman" w:hAnsi="Times New Roman"/>
          <w:b w:val="false"/>
          <w:color w:val="000000"/>
          <w:sz w:val="22"/>
        </w:rPr>
        <w:t xml:space="preserve">. Unless otherwise specified herein, the amount of a Letter of Credit at any time shall be deemed to be the stated amount of such Letter of Credit in effect at such time;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with respect to any Letter of Credit that, by its terms or the terms of any Letter of Credit Application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any reason of the operation of Rule 3.14 of the ISP, such Letter of Credit shall be deemed to be “outstanding” in the amount so remaining available to be drawn.</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II</w:t>
      </w:r>
      <w:r>
        <w:rPr>
          <w:rFonts w:ascii="Times New Roman" w:hAnsi="Times New Roman"/>
          <w:b w:val="false"/>
          <w:color w:val="000000"/>
          <w:sz w:val="22"/>
          <w:u w:val="single"/>
        </w:rPr>
        <w:br/>
        <w:br/>
        <w:t>The Commitments and Credit Extensions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2.01 </w:t>
      </w:r>
      <w:r>
        <w:rPr>
          <w:rFonts w:ascii="Times New Roman" w:hAnsi="Times New Roman"/>
          <w:b w:val="false"/>
          <w:color w:val="000000"/>
          <w:sz w:val="22"/>
          <w:u w:val="single"/>
        </w:rPr>
        <w:t>The Loans</w:t>
      </w:r>
      <w:r>
        <w:rPr>
          <w:rFonts w:ascii="Times New Roman" w:hAnsi="Times New Roman"/>
          <w:b w:val="false"/>
          <w:color w:val="000000"/>
          <w:sz w:val="22"/>
        </w:rPr>
        <w:t>. Subject to the terms and conditions set forth herein: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The Initial Term Borrowings</w:t>
      </w:r>
      <w:r>
        <w:rPr>
          <w:rFonts w:ascii="Times New Roman" w:hAnsi="Times New Roman"/>
          <w:color w:val="000000"/>
          <w:sz w:val="22"/>
        </w:rPr>
        <w:t xml:space="preserve">. Each Initial Term Lender severally agrees to make to the Borrower a single loan in Dollars in a principal amount equal to such Initial Term Lender’s Initial Term Commitment on the Closing Date. Amounts borrowed under this </w:t>
      </w:r>
      <w:r>
        <w:rPr>
          <w:rFonts w:ascii="Times New Roman" w:hAnsi="Times New Roman"/>
          <w:color w:val="000000"/>
          <w:sz w:val="22"/>
          <w:u w:val="single"/>
        </w:rPr>
        <w:t>Section 2.01(a)</w:t>
      </w:r>
      <w:r>
        <w:rPr>
          <w:rFonts w:ascii="Times New Roman" w:hAnsi="Times New Roman"/>
          <w:color w:val="000000"/>
          <w:sz w:val="20"/>
        </w:rPr>
        <w:t xml:space="preserve"> </w:t>
      </w:r>
      <w:r>
        <w:rPr>
          <w:rFonts w:ascii="Times New Roman" w:hAnsi="Times New Roman"/>
          <w:color w:val="000000"/>
          <w:sz w:val="22"/>
        </w:rPr>
        <w:t>and repaid or prepaid may not be reborrowed. Initial Term Loans may be Base Rate Loans or SOFR Loans, as further provided herein.</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The Revolving Credit Borrowings</w:t>
      </w:r>
      <w:r>
        <w:rPr>
          <w:rFonts w:ascii="Times New Roman" w:hAnsi="Times New Roman"/>
          <w:color w:val="000000"/>
          <w:sz w:val="22"/>
        </w:rPr>
        <w:t>. Subject to the terms and conditions set forth herein, each Revolving Credit Lender severally agrees to make (or cause its Applicable Lending Office to make) loans denominated in Dollars (each such loan, a “</w:t>
      </w:r>
      <w:r>
        <w:rPr>
          <w:rFonts w:ascii="Times New Roman" w:hAnsi="Times New Roman"/>
          <w:color w:val="000000"/>
          <w:sz w:val="22"/>
          <w:u w:val="single"/>
        </w:rPr>
        <w:t>Revolving Credit Loan</w:t>
      </w:r>
      <w:r>
        <w:rPr>
          <w:rFonts w:ascii="Times New Roman" w:hAnsi="Times New Roman"/>
          <w:color w:val="000000"/>
          <w:sz w:val="20"/>
        </w:rPr>
        <w:t>”</w:t>
      </w:r>
      <w:r>
        <w:rPr>
          <w:rFonts w:ascii="Times New Roman" w:hAnsi="Times New Roman"/>
          <w:color w:val="000000"/>
          <w:sz w:val="22"/>
        </w:rPr>
        <w:t xml:space="preserve">) to the Borrower from time to time, on any Business Day after the Closing Date until the Maturity Date with respect to the Revolving Credit Facility, in an aggregate principal amount not to exceed at any time outstanding the amount of such Lender’s Revolving Credit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after giving effect to any such Revolving Credit Borrowing, the aggregate Outstanding Amount of the Revolving Credit Loans of any Lender, plus such Lender’s Applicable Percentage of the Outstanding Amount of all L/C Obligations, plus such Lender’s Applicable Percentage of the Outstanding Amount of all Swing Line Loans shall not exceed such Lender’s Revolving Credit Commitment. Within the limits of each Lender’s Revolving Credit Commitment, and subject to the other terms and conditions hereof, the Borrower may borrow under this </w:t>
      </w:r>
      <w:r>
        <w:rPr>
          <w:rFonts w:ascii="Times New Roman" w:hAnsi="Times New Roman"/>
          <w:color w:val="000000"/>
          <w:sz w:val="22"/>
          <w:u w:val="single"/>
        </w:rPr>
        <w:t>Section 2.01(b)</w:t>
      </w:r>
      <w:r>
        <w:rPr>
          <w:rFonts w:ascii="Times New Roman" w:hAnsi="Times New Roman"/>
          <w:color w:val="000000"/>
          <w:sz w:val="22"/>
        </w:rPr>
        <w:t xml:space="preserve">, prepay under </w:t>
      </w:r>
      <w:r>
        <w:rPr>
          <w:rFonts w:ascii="Times New Roman" w:hAnsi="Times New Roman"/>
          <w:color w:val="000000"/>
          <w:sz w:val="22"/>
          <w:u w:val="single"/>
        </w:rPr>
        <w:t>Section 2.05</w:t>
      </w:r>
      <w:r>
        <w:rPr>
          <w:rFonts w:ascii="Times New Roman" w:hAnsi="Times New Roman"/>
          <w:color w:val="000000"/>
          <w:sz w:val="22"/>
        </w:rPr>
        <w:t xml:space="preserve">, and reborrow under this </w:t>
      </w:r>
      <w:r>
        <w:rPr>
          <w:rFonts w:ascii="Times New Roman" w:hAnsi="Times New Roman"/>
          <w:color w:val="000000"/>
          <w:sz w:val="22"/>
          <w:u w:val="single"/>
        </w:rPr>
        <w:t>Section 2.01(b)</w:t>
      </w:r>
      <w:r>
        <w:rPr>
          <w:rFonts w:ascii="Times New Roman" w:hAnsi="Times New Roman"/>
          <w:color w:val="000000"/>
          <w:sz w:val="22"/>
        </w:rPr>
        <w:t>. Revolving Credit Loans denominated in Dollars may be Base Rate Loans or SOFR Loans, as further provided herein. Notwithstanding anything herein to the contrary, there will be no Revolving Credit Borrowing on the Closing Date.</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2.02 </w:t>
      </w:r>
      <w:r>
        <w:rPr>
          <w:rFonts w:ascii="Times New Roman" w:hAnsi="Times New Roman"/>
          <w:b w:val="false"/>
          <w:color w:val="000000"/>
          <w:sz w:val="22"/>
          <w:u w:val="single"/>
        </w:rPr>
        <w:t>Borrowings, Conversions and Continuations of Loans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Each Term Borrowing, each Revolving Credit Borrowing, each conversion of Loans from one Type to the other, and each continuation of SOFR Loans shall be made upon the Borrower’s irrevocable written notice, to the Administrative Agent, which may be given by email. Each such notice must be received by the Administrative Agent substantially in the form attached hereto as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or any other form that may be approved by the Administrative Agent (including any form on an electronic platform or electronic transmission system as shall be approved by the Administrative Agent), (i) in the case of a SOFR Loan (other than any SOFR Loan requested to be made on the Closing Date for which such notice may be provided not later than 11:00 a.m., at least one (1) Business Day prior to the Closing Date), not later than 11:00 a.m., three (3) U.S. Government Securities Business Days prior to the date of the proposed Borrowing or (ii) in the case of a Base Rate Loan, not later than 11:00 a.m., on the Business Day prior to the date of the proposed Borrowing. Each notice by the Borrower pursuant to this </w:t>
      </w:r>
      <w:r>
        <w:rPr>
          <w:rFonts w:ascii="Times New Roman" w:hAnsi="Times New Roman"/>
          <w:color w:val="000000"/>
          <w:sz w:val="22"/>
          <w:u w:val="single"/>
        </w:rPr>
        <w:t>Section 2.02(a)</w:t>
      </w:r>
      <w:r>
        <w:rPr>
          <w:rFonts w:ascii="Times New Roman" w:hAnsi="Times New Roman"/>
          <w:color w:val="000000"/>
          <w:sz w:val="20"/>
        </w:rPr>
        <w:t xml:space="preserve"> </w:t>
      </w:r>
      <w:r>
        <w:rPr>
          <w:rFonts w:ascii="Times New Roman" w:hAnsi="Times New Roman"/>
          <w:color w:val="000000"/>
          <w:sz w:val="22"/>
        </w:rPr>
        <w:t xml:space="preserve">must be by hand delivery, telecopy or electronic transmission to the Administrative Agent of a written Committed Loan Notice, appropriately completed and signed by a Responsible Officer of the Borrower. Each Borrowing of, conversion to or continuation of SOFR Loans shall be in a principal amount of $1,000,000 or a whole multiple of $100,000 in excess thereof. Each Borrowing of or conversion to Base Rate Loans shall be a minimum of $500,000 (and any amount in excess thereof shall be an integral multiple of $100,000). Each Committed Loan Notice shall specify (i) whether the Borrower is requesting a Term Borrowing, a Revolving Credit Borrowing, a conversion of Loans from one Type to the other, or a continuation of SOFR Loans, (ii) the requested date of the Borrowing, conversion or continuation, as the case may be (which shall be a Business Day), (iii) the Class and principal amount of Loans to be borrowed, converted or continued, (iv) the Type of Loans to be borrowed or to which existing Loans are to be converted, (v) if applicable, the duration of the Interest Period with respect thereto and (vi) the location and number of the Borrower’s accounts to which funds are to be disbursed, which shall comply with the requirements of </w:t>
      </w:r>
      <w:r>
        <w:rPr>
          <w:rFonts w:ascii="Times New Roman" w:hAnsi="Times New Roman"/>
          <w:color w:val="000000"/>
          <w:sz w:val="22"/>
          <w:u w:val="single"/>
        </w:rPr>
        <w:t>Section 2.02(b)</w:t>
      </w:r>
      <w:r>
        <w:rPr>
          <w:rFonts w:ascii="Times New Roman" w:hAnsi="Times New Roman"/>
          <w:color w:val="000000"/>
          <w:sz w:val="22"/>
        </w:rPr>
        <w:t>. If the Borrower fails to specify a Type of Loan in a Committed Loan Notice, then the applicable Loans shall be made as SOFR Loans with an Interest Period of one (1) month and if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Borrower fails to give a timely notice requesting a conversion or continuation, then the applicable Loans shall be converted to Base Rate Loans. Any such automatic conversion or continuation shall be effective as of the last day of the Interest Period then in effect with respect to the applicable SOFR Loans. If the Borrower requests a Borrowing of, conversion to, or continuation of SOFR Loans in any such Committed Loan Notice, but fail to specify an Interest Period, it will be deemed to have specified an Interest Period of one (1) month. For the avoidance of doubt, the Borrower and Lenders acknowledge and agree that any conversion or continuation of an existing Loan shall be deemed to be a continuation of that Loan with a converted interest rate methodology and not a new Loan. Anything to the contrary contained herein notwithstanding, all Borrowing requests which are not made on-line via Administrative Agent’s electronic platform or portal shall be subject to (and unless Administrative Agent elects otherwise in the exercise of its sole discretion, such Borrowings shall not be made until the completion of) Administrative Agent’s authentication process (with results satisfactory to Administrative Agent) prior to the funding of the requested Loan.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Following receipt of a Committed Loan Notice, the Administrative Agent shall promptly notify each Appropriate Lender of the amount of its Applicable Percentage of the applicable Class of Loans, and if no timely notice of a conversion or continuation is provided by the Borrower, the Administrative Agent shall notify each Appropriate Lender of the details of any conversion or continuation described in </w:t>
      </w:r>
      <w:r>
        <w:rPr>
          <w:rFonts w:ascii="Times New Roman" w:hAnsi="Times New Roman"/>
          <w:color w:val="000000"/>
          <w:sz w:val="22"/>
          <w:u w:val="single"/>
        </w:rPr>
        <w:t>Section 2.02(a)</w:t>
      </w:r>
      <w:r>
        <w:rPr>
          <w:rFonts w:ascii="Times New Roman" w:hAnsi="Times New Roman"/>
          <w:color w:val="000000"/>
          <w:sz w:val="22"/>
        </w:rPr>
        <w:t xml:space="preserve">. In the case of each Borrowing, each Appropriate Lender shall make (or cause its Applicable Lending Office to make) the amount of its Loan available to the Administrative Agent in Same Day Funds at the Administrative Agent’s Office not later than 10:00 a.m. on the Business Day specified in the applicable Committed Loan Notice. Upon satisfaction of the applicable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(and, if such Borrowing is the Credit Extensions on the Closing Date, </w:t>
      </w:r>
      <w:r>
        <w:rPr>
          <w:rFonts w:ascii="Times New Roman" w:hAnsi="Times New Roman"/>
          <w:color w:val="000000"/>
          <w:sz w:val="22"/>
          <w:u w:val="single"/>
        </w:rPr>
        <w:t>Section 4.01</w:t>
      </w:r>
      <w:r>
        <w:rPr>
          <w:rFonts w:ascii="Times New Roman" w:hAnsi="Times New Roman"/>
          <w:color w:val="000000"/>
          <w:sz w:val="22"/>
        </w:rPr>
        <w:t xml:space="preserve">), the Administrative Agent shall on the borrowing date specified in such Committed Loan Notice disburse all funds so received to the Borrower in like funds as received by the Administrative Agent by wire transfer of such funds, in each case in accordance with instructions provided to (and reasonably acceptable to) the Administrative Agent by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on the date the Committed Loan Notice with respect to such Borrowing is given by the Borrower, there are Swing Line Loans or L/C Borrowings outstanding, then the proceeds of such Borrowing shall be applied first, to the payment in full of any such L/C Borrowings, second, to the payment in full of any such Swing Line Loans, and third, to the Borrower as provided above.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Except as otherwise provided herein, a SOFR Loan may be continued or converted only on the last day of an Interest Period for such SOFR Loan unless the Borrower pays the amount due, if any, under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in connection therewith. During the existence of an Event of Default, the Administrative Agent or the Required Lenders may require that (i) no Loans may be converted to or continued as SOFR Loans and (ii) unless repaid, each SOFR Loan shall be converted to a Base Rate Loan at the end of the Interest Period applicable thereto.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The Administrative Agent shall promptly notify the Borrower and the Lenders of the interest rate applicable to any Interest Period for SOFR Loans and of the interest rate applicable to Base Rate Loans, in each case upon determination of such interest rate. The determination of Term SOFR by the Administrative Agent shall be conclusive in the absence of manifest error.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Anything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to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above to the contrary notwithstanding, after giving effect to all Term Borrowings and Revolving Credit Borrowings, all conversions of Term Loans and Revolving Credit Loans from one Type to the other, and all continuations of Term Loans and Revolving Credit Loans as the same Type, there shall not be more than ten (10) Interest Periods in effect at any time for all Borrowings of SOFR Loans.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Unless the Administrative Agent shall have received notice from a Lender prior to the date of any Borrowing, or, in the case of any Borrowing of Base Rate Loans, prior to 9:30 a.m., on the date of such Borrowing, that such Lender will not make available to the Administrative Agent such Lender’s Applicable Percentage of such Borrowing, the Administrative Agent may assume that such Lender has made such Applicable Percentage available to the Administrative Agent on the date of such Borrowing in accordance with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Loans comprising such Borrowing and (b) in the case of such Lender, the greater of (x) the Federal Funds Rate and (y) a rate determined by the Administrative Agent in accordance with banking industry rules on interbank compensation, plus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hAnsi="Times New Roman"/>
          <w:color w:val="000000"/>
          <w:sz w:val="22"/>
          <w:u w:val="single"/>
        </w:rPr>
        <w:t>Section 2.02(f)</w:t>
      </w:r>
      <w:r>
        <w:rPr>
          <w:rFonts w:ascii="Times New Roman" w:hAnsi="Times New Roman"/>
          <w:color w:val="000000"/>
          <w:sz w:val="20"/>
        </w:rPr>
        <w:t xml:space="preserve"> </w:t>
      </w:r>
      <w:r>
        <w:rPr>
          <w:rFonts w:ascii="Times New Roman" w:hAnsi="Times New Roman"/>
          <w:color w:val="000000"/>
          <w:sz w:val="22"/>
        </w:rPr>
        <w:t>shall be conclusive in the absence of demonstrable error. If the Borrower and such Lender shall both pay all or any portion of the principal amount in respect of such Borrowing or interest to the Administrative Agent for the same or an overlapping period, the Administrative Agent shall promptly remit to the Borrower the amount of such Borrowing or interest paid by the Borrower for such period. If such Lender pays its share of the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Administrative Agent is authorized to make the Revolving Loans and the Term Loan, and L/C Issuer is authorized to issue the Letters of Credit, under this Agreement based upon telephonic or other instructions received from anyone purporting to be Responsible Officer or, without instructions, if pursuant to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Revolving Credit Loans shall be repaid in full on such date (and there shall be no adjustment to the participations in such Revolving Credit Loans as a result of the occurrence of such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on the occurrence of such earliest maturity date (after giving effect to any repayments of Revolving Credit Loans and any reallocation of Letter of Credit participations as contemplated in </w:t>
      </w:r>
      <w:r>
        <w:rPr>
          <w:rFonts w:ascii="Times New Roman" w:hAnsi="Times New Roman"/>
          <w:color w:val="000000"/>
          <w:sz w:val="22"/>
          <w:u w:val="single"/>
        </w:rPr>
        <w:t>Section 2.03(k)</w:t>
      </w:r>
      <w:r>
        <w:rPr>
          <w:rFonts w:ascii="Times New Roman" w:hAnsi="Times New Roman"/>
          <w:color w:val="000000"/>
          <w:sz w:val="20"/>
        </w:rPr>
        <w:t xml:space="preserve"> </w:t>
      </w:r>
      <w:r>
        <w:rPr>
          <w:rFonts w:ascii="Times New Roman" w:hAnsi="Times New Roman"/>
          <w:color w:val="000000"/>
          <w:sz w:val="22"/>
        </w:rPr>
        <w:t xml:space="preserve">or of Swing Line Loans as contemplated in </w:t>
      </w:r>
      <w:r>
        <w:rPr>
          <w:rFonts w:ascii="Times New Roman" w:hAnsi="Times New Roman"/>
          <w:color w:val="000000"/>
          <w:sz w:val="22"/>
          <w:u w:val="single"/>
        </w:rPr>
        <w:t>Section 2.04(g)</w:t>
      </w:r>
      <w:r>
        <w:rPr>
          <w:rFonts w:ascii="Times New Roman" w:hAnsi="Times New Roman"/>
          <w:color w:val="000000"/>
          <w:sz w:val="22"/>
        </w:rPr>
        <w:t>), there shall exist sufficient unutilized Extended Revolving Credit Commitments so that the respective outstanding Revolving Credit Loans could be incurred pursuant the Extended Revolving Credit Commitments which will remain in effect after the occurrence of such maturity date, then there shall be an automatic adjustment on such date of the participations in such Revolving Credit Loans and same shall be deemed to have been incurred solely pursuant to the relevant Extended Revolving Credit Commitments, and such Revolving Credit Loans shall not be so required to be repaid in full on such earliest maturity date.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2.03 </w:t>
      </w:r>
      <w:r>
        <w:rPr>
          <w:rFonts w:ascii="Times New Roman" w:hAnsi="Times New Roman"/>
          <w:b w:val="false"/>
          <w:color w:val="000000"/>
          <w:sz w:val="22"/>
          <w:u w:val="single"/>
        </w:rPr>
        <w:t>Letters of Credit</w:t>
      </w:r>
      <w:r>
        <w:rPr>
          <w:rFonts w:ascii="Times New Roman" w:hAnsi="Times New Roman"/>
          <w:b w:val="false"/>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The Letter of Credit Commitments.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Subject to the terms and conditions set forth herein, (1) each L/C Issuer agrees, in reliance upon the agreements of the other Revolving Credit Lenders set forth in this </w:t>
      </w:r>
      <w:r>
        <w:rPr>
          <w:rFonts w:ascii="Times New Roman" w:hAnsi="Times New Roman"/>
          <w:color w:val="000000"/>
          <w:sz w:val="22"/>
          <w:u w:val="single"/>
        </w:rPr>
        <w:t>Section 2.03</w:t>
      </w:r>
      <w:r>
        <w:rPr>
          <w:rFonts w:ascii="Times New Roman" w:hAnsi="Times New Roman"/>
          <w:color w:val="000000"/>
          <w:sz w:val="22"/>
        </w:rPr>
        <w:t>, (x) from time to time on any Business Day during the period from the Closing Date until the Letter of Credit Expiration Date, to issue Letters of Credit in Dollars for the account of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Letter of Credit may be for the benefit of any Restricted Subsidiary of the Borrower so long as the Borrower is a co-applicant with respect thereto) and to amend or renew Letters of Credit previously issued by it, in accordance with </w:t>
      </w:r>
      <w:r>
        <w:rPr>
          <w:rFonts w:ascii="Times New Roman" w:hAnsi="Times New Roman"/>
          <w:color w:val="000000"/>
          <w:sz w:val="22"/>
          <w:u w:val="single"/>
        </w:rPr>
        <w:t>Section 2.03(b)</w:t>
      </w:r>
      <w:r>
        <w:rPr>
          <w:rFonts w:ascii="Times New Roman" w:hAnsi="Times New Roman"/>
          <w:color w:val="000000"/>
          <w:sz w:val="22"/>
        </w:rPr>
        <w:t xml:space="preserve">, and (y) to honor drafts under the Letters of Credit and (2) the Revolving Credit Lenders severally agree to participate in Letters of Credit issued pursuant to this </w:t>
      </w:r>
      <w:r>
        <w:rPr>
          <w:rFonts w:ascii="Times New Roman" w:hAnsi="Times New Roman"/>
          <w:color w:val="000000"/>
          <w:sz w:val="22"/>
          <w:u w:val="single"/>
        </w:rPr>
        <w:t>Section 2.03</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L/C Issuer shall be obligated to make any L/C Credit Extension with respect to any Letter of Credit, and no Lender shall be obligated to participate in any Letter of Credit if after giving effect to such L/C Credit Extension, if (x) the Revolving Credit Exposure of any Lender would exceed such Lender’s Revolving Credit Commitment, or (y) the Outstanding Amount of the L/C Obligations would exceed the Letter of Credit Sublimit;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each L/C Issuer shall have a Commitment herein proportionate to its Revolving Credit Commitment and no L/C Issuer shall be obligated to issue, amend or renew any Letter of Credit if the Outstanding Amount of Letters of Credit issued by such L/C Issuer, when aggregated with the Outstanding Amount of Swing Line Loans made by such L/C Issuer and the Revolving Credit Exposure of such L/C Issuer (other than Revolving Credit Exposure attributable to Letters of Credit and Swing Line Loans issued and made by such L/C Issuer) would exceed the L/C Issuer’s Revolving Credit Commitment.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An L/C Issuer shall be under no obligation to issue any Letter of Credit if:</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(A) any order, judgment or decree of any Governmental Authority or arbitrator shall by its terms purport to enjoin or restrain such L/C Issuer from issuing such Letter of Credit, or any Law applicable to such L/C Issuer or any directive (whether or not having the force of law) from any Governmental Authority with jurisdiction over such L/C Issuer shall prohibit, or direct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(for which such L/C Issuer is not otherwise compensated hereunder);</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(B) the issuance of such Letter of Credit would violate one or more policies of L/C Issuer applicable to letters of credit generally;</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(C) subject to </w:t>
      </w:r>
      <w:r>
        <w:rPr>
          <w:rFonts w:ascii="Times New Roman" w:hAnsi="Times New Roman"/>
          <w:color w:val="000000"/>
          <w:sz w:val="22"/>
          <w:u w:val="single"/>
        </w:rPr>
        <w:t>Section 2.03(b)(iii)</w:t>
      </w:r>
      <w:r>
        <w:rPr>
          <w:rFonts w:ascii="Times New Roman" w:hAnsi="Times New Roman"/>
          <w:color w:val="000000"/>
          <w:sz w:val="22"/>
        </w:rPr>
        <w:t>, the expiry date of such requested Letter of Credit would occur more than twelve months after the date of issuance or last renewal, unless (i) the Required Revolving Credit Lenders and (ii) the relevant L/C Issuer have approved such expiry date;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(D) the expiry date of such requested Letter of Credit would occur after the Letter of Credit Expiration Date, unless (i) all the Revolving Credit Lenders and (ii) the relevant L/C Issuer have approved such expiry date, except to the extent such Letter of Credit is Cash Collateralized in accordance with </w:t>
      </w:r>
      <w:r>
        <w:rPr>
          <w:rFonts w:ascii="Times New Roman" w:hAnsi="Times New Roman"/>
          <w:color w:val="000000"/>
          <w:sz w:val="22"/>
          <w:u w:val="single"/>
        </w:rPr>
        <w:t>Section 2.03(f)</w:t>
      </w:r>
      <w:r>
        <w:rPr>
          <w:rFonts w:ascii="Times New Roman" w:hAnsi="Times New Roman"/>
          <w:color w:val="000000"/>
          <w:sz w:val="20"/>
        </w:rPr>
        <w:t xml:space="preserve"> </w:t>
      </w:r>
      <w:r>
        <w:rPr>
          <w:rFonts w:ascii="Times New Roman" w:hAnsi="Times New Roman"/>
          <w:color w:val="000000"/>
          <w:sz w:val="22"/>
        </w:rPr>
        <w:t>or otherwise backstopped pursuant to arrangement reasonably satisfactory to the relevant L/C Issuer;</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(E) the issuance of such Letter of Credit would violate any Laws binding upon such L/C Issuer;</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(F) [reserved];</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(G) such L/C Issuer does not as of the issuance date of such requested Letter of Credit issue Letters of Credit in the requested currency; or</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(H) any Lender is at that time a Defaulting Lender, unless after giving effect to the requested issuance the requirements of </w:t>
      </w:r>
      <w:r>
        <w:rPr>
          <w:rFonts w:ascii="Times New Roman" w:hAnsi="Times New Roman"/>
          <w:color w:val="000000"/>
          <w:sz w:val="22"/>
          <w:u w:val="single"/>
        </w:rPr>
        <w:t>Section 2.16(e)</w:t>
      </w:r>
      <w:r>
        <w:rPr>
          <w:rFonts w:ascii="Times New Roman" w:hAnsi="Times New Roman"/>
          <w:color w:val="000000"/>
          <w:sz w:val="20"/>
        </w:rPr>
        <w:t xml:space="preserve"> </w:t>
      </w:r>
      <w:r>
        <w:rPr>
          <w:rFonts w:ascii="Times New Roman" w:hAnsi="Times New Roman"/>
          <w:color w:val="000000"/>
          <w:sz w:val="22"/>
        </w:rPr>
        <w:t>have been satisfied.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(iii) An L/C Issuer shall be under no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Procedures for Issuance and Amendment of Letters of Credit; Auto Renewal Letters of Credit.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 Each Letter of Credit shall be issued or amended, as the case may be, upon the request of the Borrower delivered to an L/C Issuer (with a copy to the Administrative Agent, along with a written Letter of Credit Application, appropriately completed and signed by a Responsible Officer of the Borrower, relating to such Letter of Credit) in the form of a Letter of Credit Application with such other Issuer Documents as the L/C Issuer may reasonably request, appropriately completed and signed by a Responsible Officer of the Borrower. Such Letter of Credit Application and Issuer Documents must be received by the relevant L/C Issuer and the Administrative Agent not later than 1:00 p.m. at least three (3) Business Days prior to the proposed issuance date or date of amendment, as the case may be; or, in each case, such later date and time as the relevant L/C Issuer may agree in a particular instance in its sole discretion. In the case of a request for an initial issuance of a Letter of Credit, such Letter of Credit Application shall specify in form and detail reasonably satisfactory to the relevant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relevant L/C Issuer may reasonably request. In the case of a request for an amendment of any outstanding Letter of Credit, such Letter of Credit Application shall specify in form and detail reasonably satisfactory to the relevant L/C Issuer (1) the Letter of Credit to be amended; (2) the proposed date of amendment thereof (which shall be a Business Day); (3) the nature of the proposed amendment; and (4) such other matters as the relevant L/C Issuer may reasonably request, and such issuance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shall be subject to the L/C Issuer’s authentication procedures with results satisfactory to L/C Issuer.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Promptly after receipt of any Letter of Credit Application, the relevant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relevant L/C Issuer has received written notice from the Administrative Agent, any Revolving Credit Lender or any Loan Party, at least one (1) Business Day prior to the requested date of issuance or amendment of the applicable Letter of Credit, that one or more applicable conditions contained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shall not have been satisfied, then, subject to the terms and conditions hereof, such L/C Issuer shall, on the requested date, issue a Letter of Credit for the account of the Borrower (and, if requested, on behalf of a Subsidiary) or enter into the applicable amendment, as the case may be. Immediately upon the issuance of each Letter of Credit, each Revolving Credit Lender shall be deemed to, and hereby irrevocably and unconditionally agrees to, acquire from the relevant L/C Issuer a risk participation in such Letter of Credit in an amount equal to the product of such Revolving Credit Lender’s Applicable Percentage times the amount of such Letter of Credit.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(iii) If the Borrower so requests in any applicable Letter of Credit Application, the relevant L/C Issuer shall agree to issue a Letter of Credit that has automatic renewal provisions (each, an “</w:t>
      </w:r>
      <w:r>
        <w:rPr>
          <w:rFonts w:ascii="Times New Roman" w:hAnsi="Times New Roman"/>
          <w:color w:val="000000"/>
          <w:sz w:val="22"/>
          <w:u w:val="single"/>
        </w:rPr>
        <w:t>Auto-Renewal Letter of Credit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such Auto-Renewal Letter of Credit must permit the relevant L/C Issuer to prevent any such renewal at least once in each twelve-month period (commencing with the date of issuance of such Letter of Credit) by giving prior notice to the beneficiary thereof not later than a day (the “</w:t>
      </w:r>
      <w:r>
        <w:rPr>
          <w:rFonts w:ascii="Times New Roman" w:hAnsi="Times New Roman"/>
          <w:color w:val="000000"/>
          <w:sz w:val="22"/>
          <w:u w:val="single"/>
        </w:rPr>
        <w:t>Nonrenewal Notice Date</w:t>
      </w:r>
      <w:r>
        <w:rPr>
          <w:rFonts w:ascii="Times New Roman" w:hAnsi="Times New Roman"/>
          <w:color w:val="000000"/>
          <w:sz w:val="20"/>
        </w:rPr>
        <w:t>”</w:t>
      </w:r>
      <w:r>
        <w:rPr>
          <w:rFonts w:ascii="Times New Roman" w:hAnsi="Times New Roman"/>
          <w:color w:val="000000"/>
          <w:sz w:val="22"/>
        </w:rPr>
        <w:t xml:space="preserve">) in each such twelve-month period to be agreed upon at the time such Letter of Credit is issued. Unless otherwise directed by the relevant L/C Issuer, the Borrower shall not be required to make a specific request to the relevant L/C Issuer for any such renewal. Once an Auto-Renewal Letter of Credit has been issued, the applicable Lenders shall be deemed to have authorized (but may not require) the relevant L/C Issuer to permit the renewal of such Letter of Credit at any time to an expiry date not later than the Letter of Credit Expiration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relevant L/C Issuer shall not permit any such renewal if (A) the relevant L/C Issuer has determined that it would have no obligation at such time to issue such Letter of Credit in its renewed form under the terms hereof (by reason of the provisions of </w:t>
      </w:r>
      <w:r>
        <w:rPr>
          <w:rFonts w:ascii="Times New Roman" w:hAnsi="Times New Roman"/>
          <w:color w:val="000000"/>
          <w:sz w:val="22"/>
          <w:u w:val="single"/>
        </w:rPr>
        <w:t>Section 2.03(a)(ii)</w:t>
      </w:r>
      <w:r>
        <w:rPr>
          <w:rFonts w:ascii="Times New Roman" w:hAnsi="Times New Roman"/>
          <w:color w:val="000000"/>
          <w:sz w:val="20"/>
        </w:rPr>
        <w:t xml:space="preserve"> </w:t>
      </w:r>
      <w:r>
        <w:rPr>
          <w:rFonts w:ascii="Times New Roman" w:hAnsi="Times New Roman"/>
          <w:color w:val="000000"/>
          <w:sz w:val="22"/>
        </w:rPr>
        <w:t xml:space="preserve">or otherwise), or (B) it has received notice (which may be by telephone, followed promptly in writing, or in writing) on or before the day that is five (5) Business Days before the Nonrenewal Notice Date from the Administrative Agent or any Revolving Credit Lender, as applicable, or the Borrower that one or more of the applicable conditions specified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is not then satisfied.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Any L/C Issuer (other than Wells Fargo or any of its Affiliates) shall notify Administrative Agent in writing no later than the Business Day prior to the Business Day on which such L/C Issuer issues any Letter of Credit. Promptly after its delivery of any Letter of Credit or any amendment to a Letter of Credit to an advising bank with respect thereto or to the beneficiary thereof, the relevant L/C Issuer will also deliver to the Borrower (and Administrative Agent) a true and complete copy of such Letter of Credit or amendment and send the details of such Letter of Credit or amendment to the Administrative Agent via electronic mail at the address provided in </w:t>
      </w:r>
      <w:r>
        <w:rPr>
          <w:rFonts w:ascii="Times New Roman" w:hAnsi="Times New Roman"/>
          <w:color w:val="000000"/>
          <w:sz w:val="22"/>
          <w:u w:val="single"/>
        </w:rPr>
        <w:t>Schedule 10.02</w:t>
      </w:r>
      <w:r>
        <w:rPr>
          <w:rFonts w:ascii="Times New Roman" w:hAnsi="Times New Roman"/>
          <w:color w:val="000000"/>
          <w:sz w:val="22"/>
        </w:rPr>
        <w:t>. The L/C Issuer (unless it is Wells Fargo or any of its Affiliates) shall provide a weekly statement to the Administrative Agent evidencing all outstanding Letters of Credit.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Drawings and Reimbursements; Funding of Participations.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 Upon receipt from the beneficiary of any Letter of Credit of any notice of a drawing under such Letter of Credit, the relevant L/C Issuer shall notify promptly the Borrower and the Administrative Agent thereof. On the Business Day immediately following the Business Day on which the Borrower shall have received notice of any payment by an L/C Issuer under a Letter of Credit (or, if the Borrower shall have received such notice later than 1:00 p.m. on any Business Day, on the second succeeding Business Day) (each such date, an “</w:t>
      </w:r>
      <w:r>
        <w:rPr>
          <w:rFonts w:ascii="Times New Roman" w:hAnsi="Times New Roman"/>
          <w:color w:val="000000"/>
          <w:sz w:val="22"/>
          <w:u w:val="single"/>
        </w:rPr>
        <w:t>Honor Date</w:t>
      </w:r>
      <w:r>
        <w:rPr>
          <w:rFonts w:ascii="Times New Roman" w:hAnsi="Times New Roman"/>
          <w:color w:val="000000"/>
          <w:sz w:val="20"/>
        </w:rPr>
        <w:t>”</w:t>
      </w:r>
      <w:r>
        <w:rPr>
          <w:rFonts w:ascii="Times New Roman" w:hAnsi="Times New Roman"/>
          <w:color w:val="000000"/>
          <w:sz w:val="22"/>
        </w:rPr>
        <w:t>), the Borrower shall reimburse such L/C Issuer through the Administrative Agent in an amount equal to the amount of such drawing and in the applicable currency by 1:00 p.m. on such Business Day. If the Borrower fails to so reimburse such L/C Issuer by such time, the Administrative Agent shall promptly notify each Appropriate Lender of the Honor Date, the amount of the unreimbursed drawing (the “</w:t>
      </w:r>
      <w:r>
        <w:rPr>
          <w:rFonts w:ascii="Times New Roman" w:hAnsi="Times New Roman"/>
          <w:color w:val="000000"/>
          <w:sz w:val="22"/>
          <w:u w:val="single"/>
        </w:rPr>
        <w:t>Unreimbursed Amount</w:t>
      </w:r>
      <w:r>
        <w:rPr>
          <w:rFonts w:ascii="Times New Roman" w:hAnsi="Times New Roman"/>
          <w:color w:val="000000"/>
          <w:sz w:val="20"/>
        </w:rPr>
        <w:t>”</w:t>
      </w:r>
      <w:r>
        <w:rPr>
          <w:rFonts w:ascii="Times New Roman" w:hAnsi="Times New Roman"/>
          <w:color w:val="000000"/>
          <w:sz w:val="22"/>
        </w:rPr>
        <w:t xml:space="preserve">), and the amount of such Appropriate Lender’s Applicable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hAnsi="Times New Roman"/>
          <w:color w:val="000000"/>
          <w:sz w:val="22"/>
          <w:u w:val="single"/>
        </w:rPr>
        <w:t>Section 2.02</w:t>
      </w:r>
      <w:r>
        <w:rPr>
          <w:rFonts w:ascii="Times New Roman" w:hAnsi="Times New Roman"/>
          <w:color w:val="000000"/>
          <w:sz w:val="20"/>
        </w:rPr>
        <w:t xml:space="preserve"> </w:t>
      </w:r>
      <w:r>
        <w:rPr>
          <w:rFonts w:ascii="Times New Roman" w:hAnsi="Times New Roman"/>
          <w:color w:val="000000"/>
          <w:sz w:val="22"/>
        </w:rPr>
        <w:t xml:space="preserve">for the principal amount of Base Rate Loans but subject to the amount of the unutilized portion of the Revolving Credit Commitments of the Appropriate Lenders, and subject to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(other than the delivery of a Committed Loan Notice);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drawing under a Letter of Credit that is not reimbursed on the date of drawing shall accrue interest from the date of drawing at the rate applicable to Revolving Credit Loans that are Base Rate Loans subject to the provisions set forth below. Any notice given by an L/C Issuer or the Administrative Agent pursuant to this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may be given by telephone if immediately confirmed in writing;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lack of such an immediate confirmation shall not affect the conclusiveness or binding effect of such notice. The Borrower understands and agrees that the L/C Issuer is not required to extend the expiration date of any Letter of Credit for any reason.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Each Revolving Credit Lender (including any such Lender acting as an L/C Issuer) shall upon any notice pursuant to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make funds available to the Administrative Agent for the account of the relevant L/C Issuer, in Dollars, at the Administrative Agent’s Office for Dollar denominated payments in an amount equal to its Applicable Percentage of any Unreimbursed Amount in respect of a Letter of Credit not later than 1:00 p.m. on the Business Day specified in such notice by the Administrative Agent, whereupon, subject to the provisions of </w:t>
      </w:r>
      <w:r>
        <w:rPr>
          <w:rFonts w:ascii="Times New Roman" w:hAnsi="Times New Roman"/>
          <w:color w:val="000000"/>
          <w:sz w:val="22"/>
          <w:u w:val="single"/>
        </w:rPr>
        <w:t>Section 2.04(c)(iii)</w:t>
      </w:r>
      <w:r>
        <w:rPr>
          <w:rFonts w:ascii="Times New Roman" w:hAnsi="Times New Roman"/>
          <w:color w:val="000000"/>
          <w:sz w:val="22"/>
        </w:rPr>
        <w:t>, each Revolving Credit Lender that so makes funds available shall be deemed to have made a Base Rate Loan to the Borrower in such amount. The Administrative Agent shall remit the funds so received to the relevant L/C Issuer.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With respect to any Unreimbursed Amount in respect of a Letter of Credit that is not fully refinanced by a Revolving Credit Borrowing of Base Rate Loans because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cannot be satisfied or for any other reason, the Borrower shall be deemed to have incurred from the relevant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relevant L/C Issuer pursuant to </w:t>
      </w:r>
      <w:r>
        <w:rPr>
          <w:rFonts w:ascii="Times New Roman" w:hAnsi="Times New Roman"/>
          <w:color w:val="000000"/>
          <w:sz w:val="22"/>
          <w:u w:val="single"/>
        </w:rPr>
        <w:t>Section 2.03(c)(ii)</w:t>
      </w:r>
      <w:r>
        <w:rPr>
          <w:rFonts w:ascii="Times New Roman" w:hAnsi="Times New Roman"/>
          <w:color w:val="000000"/>
          <w:sz w:val="20"/>
        </w:rPr>
        <w:t xml:space="preserve"> </w:t>
      </w:r>
      <w:r>
        <w:rPr>
          <w:rFonts w:ascii="Times New Roman" w:hAnsi="Times New Roman"/>
          <w:color w:val="000000"/>
          <w:sz w:val="22"/>
        </w:rPr>
        <w:t>shall be deemed payment in respect of its participation in such L/C Borrowing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and shall constitute an L/C Advance from such Lender in satisfaction of its participation obligation under this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Until each Revolving Credit Lender funds its Revolving Credit Loan or L/C Advance pursuant to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to reimburse the relevant L/C Issuer for any amount drawn under any Letter of Credit, interest in respect of such Lender’s Applicable Percentage of such amount shall be solely for the account of the relevant L/C Issuer.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 Each Revolving Credit Lender’s obligation to make Revolving Credit Loans or L/C Advances to reimburse an L/C Issuer for amounts drawn under Letters of Credit, as contemplated by this </w:t>
      </w:r>
      <w:r>
        <w:rPr>
          <w:rFonts w:ascii="Times New Roman" w:hAnsi="Times New Roman"/>
          <w:color w:val="000000"/>
          <w:sz w:val="22"/>
          <w:u w:val="single"/>
        </w:rPr>
        <w:t>Section 2.03(c)</w:t>
      </w:r>
      <w:r>
        <w:rPr>
          <w:rFonts w:ascii="Times New Roman" w:hAnsi="Times New Roman"/>
          <w:color w:val="000000"/>
          <w:sz w:val="22"/>
        </w:rPr>
        <w:t xml:space="preserve">, shall be absolute and unconditional and shall not be affected by any circumstance, including (A) any setoff, counterclaim, recoupment, defense or other right which such Lender may have against the relevant L/C Issuer, the Borrower or any other Person for any reason whatsoever; (B) the occurrence or continuance of a Default; or (C) any other occurrence, event or condition, whether or not 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Revolving Credit Lender’s obligation to make Revolving Credit Loans (but not L/C Advances) pursuant to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(other than delivery by the Borrower of a Committed Loan Notice). No such making of an L/C Advance shall relieve or otherwise impair the obligation of the Borrower to reimburse the relevant L/C Issuer for the amount of any payment made by such L/C Issuer under any Letter of Credit, together with interest as provided herein.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 If any Revolving Credit Lender fails to make available to the Administrative Agent for the account of the relevant L/C Issuer any amount required to be paid by such Lender pursuant to the foregoing provisions of this </w:t>
      </w:r>
      <w:r>
        <w:rPr>
          <w:rFonts w:ascii="Times New Roman" w:hAnsi="Times New Roman"/>
          <w:color w:val="000000"/>
          <w:sz w:val="22"/>
          <w:u w:val="single"/>
        </w:rPr>
        <w:t>Section 2.03(c)</w:t>
      </w:r>
      <w:r>
        <w:rPr>
          <w:rFonts w:ascii="Times New Roman" w:hAnsi="Times New Roman"/>
          <w:color w:val="000000"/>
          <w:sz w:val="2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2.03(c)(ii)</w:t>
      </w:r>
      <w:r>
        <w:rPr>
          <w:rFonts w:ascii="Times New Roman" w:hAnsi="Times New Roman"/>
          <w:color w:val="000000"/>
          <w:sz w:val="22"/>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the Federal Funds Rate, or if the Federal Funds Rate is not available, a rate determined by the Administrative Agent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Loan included in the relevant Borrowing or L/C Advance in respect of the relevant L/C Borrowing, as the case may be. A certificate of the relevant L/C Issuer submitted to any Revolving Credit Lender (through the Administrative Agent) with respect to any amounts owing under this </w:t>
      </w:r>
      <w:r>
        <w:rPr>
          <w:rFonts w:ascii="Times New Roman" w:hAnsi="Times New Roman"/>
          <w:color w:val="000000"/>
          <w:sz w:val="22"/>
          <w:u w:val="single"/>
        </w:rPr>
        <w:t>Section 2.03(c)(vi)</w:t>
      </w:r>
      <w:r>
        <w:rPr>
          <w:rFonts w:ascii="Times New Roman" w:hAnsi="Times New Roman"/>
          <w:color w:val="000000"/>
          <w:sz w:val="20"/>
        </w:rPr>
        <w:t xml:space="preserve"> </w:t>
      </w:r>
      <w:r>
        <w:rPr>
          <w:rFonts w:ascii="Times New Roman" w:hAnsi="Times New Roman"/>
          <w:color w:val="000000"/>
          <w:sz w:val="22"/>
        </w:rPr>
        <w:t>shall be conclusive absent demonstrable error.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 If, at any time after an L/C Issuer has made a payment under any Letter of Credit and has received from any Revolving Credit Lender such Lender’s L/C Advance in respect of such payment in accordance with this </w:t>
      </w:r>
      <w:r>
        <w:rPr>
          <w:rFonts w:ascii="Times New Roman" w:hAnsi="Times New Roman"/>
          <w:color w:val="000000"/>
          <w:sz w:val="22"/>
          <w:u w:val="single"/>
        </w:rPr>
        <w:t>Section 2.03(c)</w:t>
      </w:r>
      <w:r>
        <w:rPr>
          <w:rFonts w:ascii="Times New Roman" w:hAnsi="Times New Roman"/>
          <w:color w:val="000000"/>
          <w:sz w:val="22"/>
        </w:rPr>
        <w:t>,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each Revolving Credit Lender its Applicable Percentage thereof (appropriately adjusted, in the case of interest payments, to reflect the period of time during which such Lender’s L/C Advance was outstanding) in the same funds as those received by the Administrative Agent.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(viii) If any payment received by the Administrative Agent for the account of an L/C Issuer pursuant to </w:t>
      </w:r>
      <w:r>
        <w:rPr>
          <w:rFonts w:ascii="Times New Roman" w:hAnsi="Times New Roman"/>
          <w:color w:val="000000"/>
          <w:sz w:val="22"/>
          <w:u w:val="single"/>
        </w:rPr>
        <w:t>Section 2.03(c)(i)</w:t>
      </w:r>
      <w:r>
        <w:rPr>
          <w:rFonts w:ascii="Times New Roman" w:hAnsi="Times New Roman"/>
          <w:color w:val="000000"/>
          <w:sz w:val="20"/>
        </w:rPr>
        <w:t xml:space="preserve"> </w:t>
      </w:r>
      <w:r>
        <w:rPr>
          <w:rFonts w:ascii="Times New Roman" w:hAnsi="Times New Roman"/>
          <w:color w:val="000000"/>
          <w:sz w:val="22"/>
        </w:rPr>
        <w:t xml:space="preserve">is required to be returned under any of the circumstances described in </w:t>
      </w:r>
      <w:r>
        <w:rPr>
          <w:rFonts w:ascii="Times New Roman" w:hAnsi="Times New Roman"/>
          <w:color w:val="000000"/>
          <w:sz w:val="22"/>
          <w:u w:val="single"/>
        </w:rPr>
        <w:t>Section 10.06</w:t>
      </w:r>
      <w:r>
        <w:rPr>
          <w:rFonts w:ascii="Times New Roman" w:hAnsi="Times New Roman"/>
          <w:color w:val="000000"/>
          <w:sz w:val="20"/>
        </w:rPr>
        <w:t xml:space="preserve"> </w:t>
      </w:r>
      <w:r>
        <w:rPr>
          <w:rFonts w:ascii="Times New Roman" w:hAnsi="Times New Roman"/>
          <w:color w:val="000000"/>
          <w:sz w:val="22"/>
        </w:rPr>
        <w:t>(including pursuant to any settlement entered into by such L/C Issuer in its discretion), each Revolving Credit Lender shall pay to the Administrative Agent for the account of such L/C Issuer its Applicable Percentage thereof on demand of the Administrative Agent, plus interest thereon from the date of such demand to the date such amount is returned by such Lender, at a rate per annum equal to the Federal Funds Rate, or if the Federal Funds Rate is not available, a rate determined by the Administrative Agent in accordance with banking industry rules on interbank compensation. The obligations of the Lenders under this clause shall survive the payment in full of the Obligations and the termination of this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Obligations Absolute</w:t>
      </w:r>
      <w:r>
        <w:rPr>
          <w:rFonts w:ascii="Times New Roman" w:hAnsi="Times New Roman"/>
          <w:color w:val="000000"/>
          <w:sz w:val="22"/>
        </w:rPr>
        <w:t>. The obligation of the Borrower to reimburse the relevant L/C Issuer for each drawing under each Letter of Credit issued by it and to repay each L/C Borrowing shall be absolute, unconditional and irrevocable, and shall be paid strictly in accordance with the terms of this Agreement under all circumstances, including the following:</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any lack of validity or enforceability of such Letter of Credit, this Agreement, or any other agreement or instrument relating thereto;</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the existence of any claim, counterclaim, setoff, defense or other right that any Loan Party may have at any time against any beneficiary or any transferee of such Letter of Credit (or any Person for whom any such beneficiary or any such transferee may be acting), the relevant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(iv) any payment by the relevant L/C Issuer under such Letter of Credit against presentation of a draft or certificate that does not strictly comply with the terms of such Letter of Credit; or any payment made by the relevant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(v) any exchange, release or nonperfection of any Collateral, or any release or amendment or waiver of or consent to departure from the Guaranty or any other guarantee, for all or any of the Obligations of any Loan Party in respect of such Letter of Credit;</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 [reserved]; or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(vii) any other circumstance or happening whatsoever, whether or not similar to any of the foregoing, including any other circumstance that might otherwise constitute a defense available to, or a discharge of, any Loan Party;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foregoing shall not excuse any L/C Issuer from liability to the Borrower to the extent of any direct damages (as opposed to consequential damages, claims in respect of which are waived by the Borrower to the extent permitted by applicable Law) suffered by the Borrower that are caused by such L/C Issuer’s gross negligence or willful misconduct (as determined by a court of competent jurisdiction in a final non-appealable judgment) when determining whether drafts and other documents presented under a Letter of Credit comply with the terms thereof.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Borrower is responsible for the final text of the Letter of Credit as issued by L/C Issuer, irrespective of any assistance L/C Issuer may provide such as drafting or recommending text or by L/C Issuer’s use or refusal to use text submitted by the Borrower. The Borrower understands that the final form of any Letter of Credit may be subject to such revisions and changes as are deemed necessary or appropriate by L/C Issuer, and the Borrower hereby consents to such revisions and changes not materially different from the application executed in connection therewith. The Borrower is solely responsible for the suitability of the Letter of Credit for the Borrower’s purposes.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Role of L/C Issuers</w:t>
      </w:r>
      <w:r>
        <w:rPr>
          <w:rFonts w:ascii="Times New Roman" w:hAnsi="Times New Roman"/>
          <w:color w:val="000000"/>
          <w:sz w:val="22"/>
        </w:rPr>
        <w:t xml:space="preserve">. Each Lender and the Borrower agree that, in paying any drawing under a Letter of Credit, the relevant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any Agent-Related Person nor any of the respective correspondents, participants or assignees of any L/C Issuer shall be liable to any Lender for (i) any action taken or omitted in connection herewith at the request or with the approval of the Lenders or the Required Revolving Credit Lenders, as applicable; (ii) any action taken or omitted in the absence of gross negligence or willful misconduct (as determined by a court of competent jurisdiction in a final non-appealable judgment);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assumption is not intended to, and shall not, preclude the Borrower’s pursuing such rights and remedies as they may have against the beneficiary or transferee at law or under any other agreement. None of the L/C Issuers, any Agent-Related Person, nor any of the respective correspondents, participants or assignees of any L/C Issuer, shall be liable or responsible for any of the matters described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(iii)</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2.03(e)</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anything in such clauses to the contrary notwithstanding, the Borrower may have a claim against an L/C Issuer, and such L/C Issuer may be liable to the Borrower, to the extent, but only to the extent, of any direct, as opposed to consequential or exemplary, damages suffered by the Borrower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each case, as determined by the final and non-appealable judgment of a court of competent jurisdiction).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Cash Collateral</w:t>
      </w:r>
      <w:r>
        <w:rPr>
          <w:rFonts w:ascii="Times New Roman" w:hAnsi="Times New Roman"/>
          <w:color w:val="000000"/>
          <w:sz w:val="22"/>
        </w:rPr>
        <w:t xml:space="preserve">. (i) If any Event of Default occurs and is continuing and the Administrative Agent, the Required Lenders, or the Required Revolving Credit Lenders, as applicable, require the Borrower to Cash Collateralize the L/C Obligations pursuant to </w:t>
      </w:r>
      <w:r>
        <w:rPr>
          <w:rFonts w:ascii="Times New Roman" w:hAnsi="Times New Roman"/>
          <w:color w:val="000000"/>
          <w:sz w:val="22"/>
          <w:u w:val="single"/>
        </w:rPr>
        <w:t>Section 8.02(c)</w:t>
      </w:r>
      <w:r>
        <w:rPr>
          <w:rFonts w:ascii="Times New Roman" w:hAnsi="Times New Roman"/>
          <w:color w:val="000000"/>
          <w:sz w:val="20"/>
        </w:rPr>
        <w:t xml:space="preserve"> </w:t>
      </w:r>
      <w:r>
        <w:rPr>
          <w:rFonts w:ascii="Times New Roman" w:hAnsi="Times New Roman"/>
          <w:color w:val="000000"/>
          <w:sz w:val="22"/>
        </w:rPr>
        <w:t xml:space="preserve">or (ii) an Event of Default set forth under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occurs and is continuing,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then the Borrower shall Cash Collateralize the then Outstanding Amount of all L/C Obligations (in an amount equal to such Outstanding Amount determined as of the date of such Event of Default), and shall do so not later than 2:00 p.m. on (x) in the case of the immediately preceding </w:t>
      </w:r>
      <w:r>
        <w:rPr>
          <w:rFonts w:ascii="Times New Roman" w:hAnsi="Times New Roman"/>
          <w:color w:val="000000"/>
          <w:sz w:val="22"/>
          <w:u w:val="single"/>
        </w:rPr>
        <w:t>clause (i)</w:t>
      </w:r>
      <w:r>
        <w:rPr>
          <w:rFonts w:ascii="Times New Roman" w:hAnsi="Times New Roman"/>
          <w:color w:val="000000"/>
          <w:sz w:val="22"/>
        </w:rPr>
        <w:t xml:space="preserve">, (1) the Business Day that the Borrower receives notice thereof, if such notice is received on such day prior to 1:00 p.m., or (2) if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 xml:space="preserve">above does not apply, the Business Day immediately following the day that the Borrower receives such notice and (y) in the case of the immediately preceding </w:t>
      </w:r>
      <w:r>
        <w:rPr>
          <w:rFonts w:ascii="Times New Roman" w:hAnsi="Times New Roman"/>
          <w:color w:val="000000"/>
          <w:sz w:val="22"/>
          <w:u w:val="single"/>
        </w:rPr>
        <w:t>clause (ii)</w:t>
      </w:r>
      <w:r>
        <w:rPr>
          <w:rFonts w:ascii="Times New Roman" w:hAnsi="Times New Roman"/>
          <w:color w:val="000000"/>
          <w:sz w:val="22"/>
        </w:rPr>
        <w:t xml:space="preserve">, the Business Day on which an Event of Default set forth under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occurs or, if such day is not a Business Day, the Business Day immediately succeeding such day, in either case, by 1:00 p.m. on such day. For purposes hereof, “</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means to pledge and deposit with or deliver to the Administrative Agent, for the benefit of the relevant L/C Issuer and the Revolving Credit Lenders, as collateral for the L/C Obligations, cash or deposit account balances in an amount equal to 105% of the then Outstanding Amount of all L/C Obligations (determined as of the date of such Event of Default), (“</w:t>
      </w:r>
      <w:r>
        <w:rPr>
          <w:rFonts w:ascii="Times New Roman" w:hAnsi="Times New Roman"/>
          <w:color w:val="000000"/>
          <w:sz w:val="22"/>
          <w:u w:val="single"/>
        </w:rPr>
        <w:t>Cash Collateral</w:t>
      </w:r>
      <w:r>
        <w:rPr>
          <w:rFonts w:ascii="Times New Roman" w:hAnsi="Times New Roman"/>
          <w:color w:val="000000"/>
          <w:sz w:val="20"/>
        </w:rPr>
        <w:t>”</w:t>
      </w:r>
      <w:r>
        <w:rPr>
          <w:rFonts w:ascii="Times New Roman" w:hAnsi="Times New Roman"/>
          <w:color w:val="000000"/>
          <w:sz w:val="22"/>
        </w:rPr>
        <w:t xml:space="preserve">) pursuant to documentation in form and substance reasonably satisfactory to the Administrative Agent and the relevant L/C Issuer (which documents are hereby consented to by the Revolving Credit Lenders). Derivatives of such term have corresponding meanings. The Borrower hereby grants to the Administrative Agent, for the benefit of the Secured Parties, a security interest in all such cash, deposit accounts and all balances therein and all proceeds of the foregoing. Cash Collateral shall be maintained in accounts reasonably satisfactory to the Administrative Agent in the name of the Administrative Agent and for the benefit of the Secured Parties and may be invested in readily available Cash Equivalents at its sole discretion. If at any time the Administrative Agent determines that any funds held as Cash Collateral are subject to any right or claim of any Person other than the Administrative Agent (on behalf of the Secured Parties) or that the total amount of such funds is less than the aggregate Outstanding Amount of all L/C Obligations, the Borrower will, forthwith upon demand by the Administrative Agent, pay to the Administrative Agent, as additional funds to be deposited and held in the deposit accounts reasonably satisfactory to the Administrative Agent as aforesaid, an amount equal to the excess of (a) such aggregate Outstanding Amount over (b) the total amount of funds, if any, then held as Cash Collateral that the Administrative Agent reasonably determines to be free and clear of any such right and claim. Upon the drawing of any Letter of Credit for which funds are on deposit as Cash Collateral, such funds shall be applied, to the extent permitted under applicable Law, to reimburse the relevant L/C Issuer. To the extent the amount of any Cash Collateral exceeds the then Outstanding Amount of such L/C Obligations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costs incidental thereto and so long as no other Event of Default has occurred and is continuing, the excess shall be refunded to the Borrower. If such Event of Default is cured or waived and no other Event of Default is then occurring and continuing, the amount of any Cash Collateral and accrued interest thereon shall be refunded to the Borrower.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Letter of Credit Fees</w:t>
      </w:r>
      <w:r>
        <w:rPr>
          <w:rFonts w:ascii="Times New Roman" w:hAnsi="Times New Roman"/>
          <w:color w:val="000000"/>
          <w:sz w:val="22"/>
        </w:rPr>
        <w:t>. The Borrower shall pay to the Administrative Agent for the account of each Revolving Credit Lender</w:t>
      </w:r>
      <w:r>
        <w:rPr>
          <w:rFonts w:ascii="Times New Roman" w:hAnsi="Times New Roman"/>
          <w:color w:val="FF0000"/>
          <w:sz w:val="20"/>
        </w:rPr>
        <w:t xml:space="preserve"> </w:t>
      </w:r>
      <w:r>
        <w:rPr>
          <w:rFonts w:ascii="Times New Roman" w:hAnsi="Times New Roman"/>
          <w:color w:val="000000"/>
          <w:sz w:val="22"/>
        </w:rPr>
        <w:t>in accordance with its Applicable Percentage a Letter of Credit fee for each Letter of Credit issued pursuant to this Agreement equal to the product of (i) Applicable Rate for Letter of Credit fees and (ii) the daily maximum amount then available to be drawn under such Letter of Credit. For purposes of computing the daily amount available to be drawn under any Letter of Credit, the amount of such Letter of Credit shall be determined in accordance with Section 1.11. Such letter of credit fees shall be computed on a quarterly basis in arrears. Such letter of credit fees shall be due and payable in arrears on the first Business Day of each calendar quarter,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Fronting Fee and Documentary and Processing Charges Payable to L/C Issuers</w:t>
      </w:r>
      <w:r>
        <w:rPr>
          <w:rFonts w:ascii="Times New Roman" w:hAnsi="Times New Roman"/>
          <w:color w:val="000000"/>
          <w:sz w:val="22"/>
        </w:rPr>
        <w:t>. The Borrower shall pay directly to each L/C Issuer for its own account a fronting fee (a “</w:t>
      </w:r>
      <w:r>
        <w:rPr>
          <w:rFonts w:ascii="Times New Roman" w:hAnsi="Times New Roman"/>
          <w:color w:val="000000"/>
          <w:sz w:val="22"/>
          <w:u w:val="single"/>
        </w:rPr>
        <w:t>Fronting Fee</w:t>
      </w:r>
      <w:r>
        <w:rPr>
          <w:rFonts w:ascii="Times New Roman" w:hAnsi="Times New Roman"/>
          <w:color w:val="000000"/>
          <w:sz w:val="20"/>
        </w:rPr>
        <w:t>”</w:t>
      </w:r>
      <w:r>
        <w:rPr>
          <w:rFonts w:ascii="Times New Roman" w:hAnsi="Times New Roman"/>
          <w:color w:val="000000"/>
          <w:sz w:val="22"/>
        </w:rPr>
        <w:t xml:space="preserve">) with respect to each Letter of Credit issued by it equal to 0.125%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 xml:space="preserve">of the daily maximum amount then available to be drawn under such Letter of Credit. For purposes of computing the daily amount available to be drawn under any Letter of Credit, the amount of such Letter of Credit shall be determined in accordance with </w:t>
      </w:r>
      <w:r>
        <w:rPr>
          <w:rFonts w:ascii="Times New Roman" w:hAnsi="Times New Roman"/>
          <w:color w:val="000000"/>
          <w:sz w:val="22"/>
          <w:u w:val="single"/>
        </w:rPr>
        <w:t>Section 1.11</w:t>
      </w:r>
      <w:r>
        <w:rPr>
          <w:rFonts w:ascii="Times New Roman" w:hAnsi="Times New Roman"/>
          <w:color w:val="000000"/>
          <w:sz w:val="22"/>
        </w:rPr>
        <w:t>. Such Fronting Fee shall be computed on a quarterly basis in arrears. Such Fronting Fee shall be due and payable in arrears on the first Business Day of each calendar quarter, commencing with the first such date to occur after the issuance of such Letter of Credit, on the Letter of Credit Expiration Date and thereafter on demand.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ten (10) Business Days of demand and are nonrefundable.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Conflict with Issuer Documents</w:t>
      </w:r>
      <w:r>
        <w:rPr>
          <w:rFonts w:ascii="Times New Roman" w:hAnsi="Times New Roman"/>
          <w:color w:val="000000"/>
          <w:sz w:val="22"/>
        </w:rPr>
        <w:t xml:space="preserve">. In the event of a direct conflict between the provisions of this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shall control and govern.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Addition of an L/C Issuer</w:t>
      </w:r>
      <w:r>
        <w:rPr>
          <w:rFonts w:ascii="Times New Roman" w:hAnsi="Times New Roman"/>
          <w:color w:val="000000"/>
          <w:sz w:val="22"/>
        </w:rPr>
        <w:t>. A Revolving Credit Lender (or any of its Subsidiaries or affiliates) may become an additional L/C Issuer hereunder pursuant to a written agreement among the Borrower and such Revolving Credit Lender, which such written agreement shall also provide that the commitment of such additional L/C Issuer to issue Letters of Credit shall not exceed at any time the amount set forth in such written agreement. The Administrative Agent shall notify the Revolving Credit Lenders of any such additional L/C Issuer.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Provisions Related to Extended Revolving Credit Commitments</w:t>
      </w:r>
      <w:r>
        <w:rPr>
          <w:rFonts w:ascii="Times New Roman" w:hAnsi="Times New Roman"/>
          <w:color w:val="000000"/>
          <w:sz w:val="22"/>
        </w:rPr>
        <w:t xml:space="preserve">. If the maturity date in respect of any Class of Revolving Credit Commitments occurs prior to the expiration of any Letter of Credit, then (i) if one or more other Classes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 w:hAnsi="Times New Roman"/>
          <w:color w:val="000000"/>
          <w:sz w:val="22"/>
          <w:u w:val="single"/>
        </w:rPr>
        <w:t>Section 2.03(c)</w:t>
      </w:r>
      <w:r>
        <w:rPr>
          <w:rFonts w:ascii="Times New Roman" w:hAnsi="Times New Roman"/>
          <w:color w:val="000000"/>
          <w:sz w:val="22"/>
        </w:rPr>
        <w:t xml:space="preserve">) under (and ratably participated in by Lenders pursuant to) the Revolving Credit Commitments in respect of such non-terminating Classes up to an aggregate amount not to exceed the aggregate principal amount of the unutilized Revolving Credit Commitments thereunder at such time (it being understood that no partial face amount of any Letter of Credit may be so reallocated) and (ii) to the extent not reallocated pursuant to immediately preceding </w:t>
      </w:r>
      <w:r>
        <w:rPr>
          <w:rFonts w:ascii="Times New Roman" w:hAnsi="Times New Roman"/>
          <w:color w:val="000000"/>
          <w:sz w:val="22"/>
          <w:u w:val="single"/>
        </w:rPr>
        <w:t>clause (i)</w:t>
      </w:r>
      <w:r>
        <w:rPr>
          <w:rFonts w:ascii="Times New Roman" w:hAnsi="Times New Roman"/>
          <w:color w:val="000000"/>
          <w:sz w:val="22"/>
        </w:rPr>
        <w:t xml:space="preserve">, the Borrower shall Cash Collateralize any such Letter of Credit in accordance with </w:t>
      </w:r>
      <w:r>
        <w:rPr>
          <w:rFonts w:ascii="Times New Roman" w:hAnsi="Times New Roman"/>
          <w:color w:val="000000"/>
          <w:sz w:val="22"/>
          <w:u w:val="single"/>
        </w:rPr>
        <w:t>Section 2.03(f)</w:t>
      </w:r>
      <w:r>
        <w:rPr>
          <w:rFonts w:ascii="Times New Roman" w:hAnsi="Times New Roman"/>
          <w:color w:val="000000"/>
          <w:sz w:val="22"/>
        </w:rPr>
        <w:t xml:space="preserve">. If, for any reason, such Cash Collateral is not provided or the reallocation does not occur, the Revolving Credit Lenders under the maturing Class shall continue to be responsible for their participating interests in the Letters of Credit. Except to the extent of reallocations of participations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of the second preceding sentence, the occurrence of a maturity date with respect to a given Class of Revolving Credit Commitments shall have no effect upon (and shall not diminish) the percentage participations of the Revolving Credit Lenders in any Letter of Credit issued before such maturity date. Commencing with the maturity date of any Class of Revolving Credit Commitments, the sublimit for Letters of Credit shall be agreed with the Revolving Credit Lenders under the extended Classes. For the avoidance of doubt, notwithstanding anything contained herein, the commitment of any L/C Issuer to act in its capacity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as such cannot be extended beyond the Maturity Date for the Revolving Credit Facility (as such Maturity Date is in effect at the Closing Date) or increased without its prior written consent.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Applicability of ISP</w:t>
      </w:r>
      <w:r>
        <w:rPr>
          <w:rFonts w:ascii="Times New Roman" w:hAnsi="Times New Roman"/>
          <w:color w:val="000000"/>
          <w:sz w:val="22"/>
        </w:rPr>
        <w:t>. Unless otherwise expressly agreed by the L/C Issuer and the Borrower when a Letter of Credit is issued, the rules of the ISP shall apply to each standby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Letters of Credit Issued for Subsidiaries</w:t>
      </w:r>
      <w:r>
        <w:rPr>
          <w:rFonts w:ascii="Times New Roman" w:hAnsi="Times New Roman"/>
          <w:color w:val="000000"/>
          <w:sz w:val="22"/>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 to the benefit of the Borrower, and that the Borrower’s business derives substantial benefits from the businesses of such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2.04 </w:t>
      </w:r>
      <w:r>
        <w:rPr>
          <w:rFonts w:ascii="Times New Roman" w:hAnsi="Times New Roman"/>
          <w:b w:val="false"/>
          <w:color w:val="000000"/>
          <w:sz w:val="22"/>
          <w:u w:val="single"/>
        </w:rPr>
        <w:t>Swing Line Loans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The Swing Line</w:t>
      </w:r>
      <w:r>
        <w:rPr>
          <w:rFonts w:ascii="Times New Roman" w:hAnsi="Times New Roman"/>
          <w:color w:val="000000"/>
          <w:sz w:val="22"/>
        </w:rPr>
        <w:t>. Subject to the terms and conditions set forth herein, the Swing Line Lender agrees, in its sole discretion, to make loans denominated in Dollars (each such loan, a “</w:t>
      </w:r>
      <w:r>
        <w:rPr>
          <w:rFonts w:ascii="Times New Roman" w:hAnsi="Times New Roman"/>
          <w:color w:val="000000"/>
          <w:sz w:val="22"/>
          <w:u w:val="single"/>
        </w:rPr>
        <w:t>Swing Line Loan</w:t>
      </w:r>
      <w:r>
        <w:rPr>
          <w:rFonts w:ascii="Times New Roman" w:hAnsi="Times New Roman"/>
          <w:color w:val="000000"/>
          <w:sz w:val="20"/>
        </w:rPr>
        <w:t>”</w:t>
      </w:r>
      <w:r>
        <w:rPr>
          <w:rFonts w:ascii="Times New Roman" w:hAnsi="Times New Roman"/>
          <w:color w:val="000000"/>
          <w:sz w:val="22"/>
        </w:rPr>
        <w:t xml:space="preserve">) to the Borrower from time to time on any Business Day (other than the Closing Date) until the Business Day prior to the Maturity Date with respect to the Revolving Credit Facility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Revolving Credit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after giving effect to any Swing Line Loan, the aggregate Outstanding Amount of the Revolving Credit Loans of any Lender, plus such Lender’s Applicable Percentage of the Outstanding Amount of all L/C Obligations, plus such Lender’s Applicable Percentage of the Outstanding Amount of all Swing Line Loans shall not exceed such Lender’s Revolving Credit Commitment then in effect;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Swing Line Lender shall be obligated to make any Swing Line Loan if the Outstanding Amount of Swing Line Loans made by such Swing Line Lender, when aggregated with the Outstanding Amount of Letter of Credit issued by such Swing Line Lender and the Revolving Credit Exposure of such Swing Line Lender (other than Revolving Credit Exposure attributable to Swing Line Loans and Letters of Credit made and issued by such Swing Line Lender) would exceed the Swing Line Lender’s Revolving Credit Commitment;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xml:space="preserve">, Swing Line Lender shall not be required to make any Swing Line Loan at any time that any Lender is a Defaulting Lender, unless after giving effect to the requested Swing Line Loans the requirements of </w:t>
      </w:r>
      <w:r>
        <w:rPr>
          <w:rFonts w:ascii="Times New Roman" w:hAnsi="Times New Roman"/>
          <w:color w:val="000000"/>
          <w:sz w:val="22"/>
          <w:u w:val="single"/>
        </w:rPr>
        <w:t>Section 2.16(e)</w:t>
      </w:r>
      <w:r>
        <w:rPr>
          <w:rFonts w:ascii="Times New Roman" w:hAnsi="Times New Roman"/>
          <w:color w:val="000000"/>
          <w:sz w:val="20"/>
        </w:rPr>
        <w:t xml:space="preserve"> </w:t>
      </w:r>
      <w:r>
        <w:rPr>
          <w:rFonts w:ascii="Times New Roman" w:hAnsi="Times New Roman"/>
          <w:color w:val="000000"/>
          <w:sz w:val="22"/>
        </w:rPr>
        <w:t xml:space="preserve">have been satisfied;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xml:space="preserve">, the Borrower shall not use the proceeds of any Swing Line Loan to refinance any outstanding Swing Line Loan. Within the foregoing limits, and subject to the other terms and conditions hereof, the Borrower may borrow under this </w:t>
      </w:r>
      <w:r>
        <w:rPr>
          <w:rFonts w:ascii="Times New Roman" w:hAnsi="Times New Roman"/>
          <w:color w:val="000000"/>
          <w:sz w:val="22"/>
          <w:u w:val="single"/>
        </w:rPr>
        <w:t>Section 2.04</w:t>
      </w:r>
      <w:r>
        <w:rPr>
          <w:rFonts w:ascii="Times New Roman" w:hAnsi="Times New Roman"/>
          <w:color w:val="000000"/>
          <w:sz w:val="22"/>
        </w:rPr>
        <w:t xml:space="preserve">, prepay under </w:t>
      </w:r>
      <w:r>
        <w:rPr>
          <w:rFonts w:ascii="Times New Roman" w:hAnsi="Times New Roman"/>
          <w:color w:val="000000"/>
          <w:sz w:val="22"/>
          <w:u w:val="single"/>
        </w:rPr>
        <w:t>Section 2.05</w:t>
      </w:r>
      <w:r>
        <w:rPr>
          <w:rFonts w:ascii="Times New Roman" w:hAnsi="Times New Roman"/>
          <w:color w:val="000000"/>
          <w:sz w:val="22"/>
        </w:rPr>
        <w:t xml:space="preserve">, and reborrow under this </w:t>
      </w:r>
      <w:r>
        <w:rPr>
          <w:rFonts w:ascii="Times New Roman" w:hAnsi="Times New Roman"/>
          <w:color w:val="000000"/>
          <w:sz w:val="22"/>
          <w:u w:val="single"/>
        </w:rPr>
        <w:t>Section 2.04</w:t>
      </w:r>
      <w:r>
        <w:rPr>
          <w:rFonts w:ascii="Times New Roman" w:hAnsi="Times New Roman"/>
          <w:color w:val="000000"/>
          <w:sz w:val="22"/>
        </w:rPr>
        <w:t>. Each Swing Line Loan shall be a Base Rate Loan. Immediately upon the making of a Swing Line Loan, each Revolving Credit Lender shall be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deemed to, and hereby irrevocably and unconditionally agrees to, purchase from the Swing Line Lender a risk participation in such Swing Line Loan in an amount equal to the product of such Lender’s Applicable Percentage times the amount of such Swing Line Loan.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Borrowing Procedures</w:t>
      </w:r>
      <w:r>
        <w:rPr>
          <w:rFonts w:ascii="Times New Roman" w:hAnsi="Times New Roman"/>
          <w:color w:val="000000"/>
          <w:sz w:val="22"/>
        </w:rPr>
        <w:t xml:space="preserve">. Each Swing Line Borrowing shall be made upon the Borrower’s irrevocable notice to the Swing Line Lender, which may be given by telephone. Each such notice must be received by the Swing Line Lender not later than 11:00 a.m. on the requested borrowing date, and shall specify (i) the amount to be borrowed, which shall be a minimum of $100,000 (and any amount in excess thereof shall be an integral multiple of $25,000), and (ii) the requested borrowing date, which shall be a Business Day. Each such telephonic notice must be confirmed promptly by delivery to the Swing Line Lender (with a copy to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Times New Roman" w:hAnsi="Times New Roman"/>
          <w:color w:val="000000"/>
          <w:sz w:val="22"/>
          <w:u w:val="single"/>
        </w:rPr>
        <w:t>Section 2.04(a)(i)</w:t>
      </w:r>
      <w:r>
        <w:rPr>
          <w:rFonts w:ascii="Times New Roman" w:hAnsi="Times New Roman"/>
          <w:color w:val="000000"/>
          <w:sz w:val="20"/>
        </w:rPr>
        <w:t xml:space="preserve"> </w:t>
      </w:r>
      <w:r>
        <w:rPr>
          <w:rFonts w:ascii="Times New Roman" w:hAnsi="Times New Roman"/>
          <w:color w:val="000000"/>
          <w:sz w:val="22"/>
        </w:rPr>
        <w:t xml:space="preserve">or (B) that one or more of the applicable conditions specified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is not then satisfied, then, subject to the terms and conditions hereof, the Swing Line Lender will on the borrowing date specified in such Swing Line Loan Notice, make the amount of its Swing Line Loan available to the Borrower at their office by crediting the accounts of the Borrower on the books of the Swing Line Lender in Same Day Funds.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Refinancing of Swing Line Loans.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hAnsi="Times New Roman"/>
          <w:color w:val="000000"/>
          <w:sz w:val="22"/>
          <w:u w:val="single"/>
        </w:rPr>
        <w:t>Section 2.02</w:t>
      </w:r>
      <w:r>
        <w:rPr>
          <w:rFonts w:ascii="Times New Roman" w:hAnsi="Times New Roman"/>
          <w:color w:val="000000"/>
          <w:sz w:val="22"/>
        </w:rPr>
        <w:t xml:space="preserve">, without regard to the minimum and multiples specified therein for the principal amount of Base Rate Loans, but subject to the unutilized portion of the aggregate Revolving Credit Commitments and the conditions set forth in </w:t>
      </w:r>
      <w:r>
        <w:rPr>
          <w:rFonts w:ascii="Times New Roman" w:hAnsi="Times New Roman"/>
          <w:color w:val="000000"/>
          <w:sz w:val="22"/>
          <w:u w:val="single"/>
        </w:rPr>
        <w:t>Section 4.02</w:t>
      </w:r>
      <w:r>
        <w:rPr>
          <w:rFonts w:ascii="Times New Roman" w:hAnsi="Times New Roman"/>
          <w:color w:val="000000"/>
          <w:sz w:val="22"/>
        </w:rPr>
        <w:t xml:space="preserve">. The Swing Line Lender shall furnish the Borrower with a copy of the applicable Committed Loan Notice promptly after delivering such notice to the Administrative Agent. Each Revolving Credit Lender shall make an amount equal to its Applicable Percentage of the amount specified in such Committed Loan Notice available to the Administrative Agent in immediately available funds for the account of the Swing Line Lender at the Administrative Agent’s Office for payments not later than 10:00 a.m. on the day specified in such Committed Loan Notice, whereupon, subject to </w:t>
      </w:r>
      <w:r>
        <w:rPr>
          <w:rFonts w:ascii="Times New Roman" w:hAnsi="Times New Roman"/>
          <w:color w:val="000000"/>
          <w:sz w:val="22"/>
          <w:u w:val="single"/>
        </w:rPr>
        <w:t>Section 2.04(c)(ii)</w:t>
      </w:r>
      <w:r>
        <w:rPr>
          <w:rFonts w:ascii="Times New Roman" w:hAnsi="Times New Roman"/>
          <w:color w:val="000000"/>
          <w:sz w:val="22"/>
        </w:rPr>
        <w:t>, each Revolving Credit Lender that so makes funds available shall be deemed to have made a Base Rate Loan to the Borrower in such amount. The Administrative Agent shall remit the funds so received to the Swing Line Lender.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If for any reason any Swing Line Loan cannot be refinanced by such a Revolving Credit Borrowing in accordance with </w:t>
      </w:r>
      <w:r>
        <w:rPr>
          <w:rFonts w:ascii="Times New Roman" w:hAnsi="Times New Roman"/>
          <w:color w:val="000000"/>
          <w:sz w:val="22"/>
          <w:u w:val="single"/>
        </w:rPr>
        <w:t>Section 2.04(c)(i)</w:t>
      </w:r>
      <w:r>
        <w:rPr>
          <w:rFonts w:ascii="Times New Roman" w:hAnsi="Times New Roman"/>
          <w:color w:val="000000"/>
          <w:sz w:val="22"/>
        </w:rPr>
        <w:t>, the request for Base Rate Loans submitted by the Swing Line Lender as set forth herein shall be deemed to be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hAnsi="Times New Roman"/>
          <w:color w:val="000000"/>
          <w:sz w:val="22"/>
          <w:u w:val="single"/>
        </w:rPr>
        <w:t>Section 2.04(c)(i)</w:t>
      </w:r>
      <w:r>
        <w:rPr>
          <w:rFonts w:ascii="Times New Roman" w:hAnsi="Times New Roman"/>
          <w:color w:val="000000"/>
          <w:sz w:val="20"/>
        </w:rPr>
        <w:t xml:space="preserve"> </w:t>
      </w:r>
      <w:r>
        <w:rPr>
          <w:rFonts w:ascii="Times New Roman" w:hAnsi="Times New Roman"/>
          <w:color w:val="000000"/>
          <w:sz w:val="22"/>
        </w:rPr>
        <w:t>shall be deemed payment in respect of such participation.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If any Revolving Credit Lender fails to make available to the Administrative Agent for the account of the Swing Line Lender any amount required to be paid by such Lender pursuant to the foregoing provisions of this </w:t>
      </w:r>
      <w:r>
        <w:rPr>
          <w:rFonts w:ascii="Times New Roman" w:hAnsi="Times New Roman"/>
          <w:color w:val="000000"/>
          <w:sz w:val="22"/>
          <w:u w:val="single"/>
        </w:rPr>
        <w:t>Section 2.04(c)</w:t>
      </w:r>
      <w:r>
        <w:rPr>
          <w:rFonts w:ascii="Times New Roman" w:hAnsi="Times New Roman"/>
          <w:color w:val="000000"/>
          <w:sz w:val="2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2.04(c)(i)</w:t>
      </w:r>
      <w:r>
        <w:rPr>
          <w:rFonts w:ascii="Times New Roman" w:hAnsi="Times New Roman"/>
          <w:color w:val="000000"/>
          <w:sz w:val="22"/>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the Federal Funds Rate, or if the Federal Funds Rate is not available, a rate determined by the Administrative Agent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shall be conclusive absent demonstrable error.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Each Revolving Credit Lender’s obligation to make Revolving Credit Loans or to purchase and fund risk participations in Swing Line Loans pursuant to this </w:t>
      </w:r>
      <w:r>
        <w:rPr>
          <w:rFonts w:ascii="Times New Roman" w:hAnsi="Times New Roman"/>
          <w:color w:val="000000"/>
          <w:sz w:val="22"/>
          <w:u w:val="single"/>
        </w:rPr>
        <w:t>Section 2.04(c)</w:t>
      </w:r>
      <w:r>
        <w:rPr>
          <w:rFonts w:ascii="Times New Roman" w:hAnsi="Times New Roman"/>
          <w:color w:val="000000"/>
          <w:sz w:val="20"/>
        </w:rPr>
        <w:t xml:space="preserve"> </w:t>
      </w:r>
      <w:r>
        <w:rPr>
          <w:rFonts w:ascii="Times New Roman" w:hAnsi="Times New Roman"/>
          <w:color w:val="000000"/>
          <w:sz w:val="22"/>
        </w:rPr>
        <w:t xml:space="preserve">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each Revolving Credit Lender’s obligation to make Revolving Credit Loans (but not to purchase and fund risk participations in Swing Line Loans) pursuant to this </w:t>
      </w:r>
      <w:r>
        <w:rPr>
          <w:rFonts w:ascii="Times New Roman" w:hAnsi="Times New Roman"/>
          <w:color w:val="000000"/>
          <w:sz w:val="22"/>
          <w:u w:val="single"/>
        </w:rPr>
        <w:t>Section 2.04(c)</w:t>
      </w:r>
      <w:r>
        <w:rPr>
          <w:rFonts w:ascii="Times New Roman" w:hAnsi="Times New Roman"/>
          <w:color w:val="000000"/>
          <w:sz w:val="2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rFonts w:ascii="Times New Roman" w:hAnsi="Times New Roman"/>
          <w:color w:val="000000"/>
          <w:sz w:val="22"/>
        </w:rPr>
        <w:t>. No such funding of risk participations shall relieve or otherwise impair the obligation of the Borrower to repay Swing Line Loans, together with interest as provided herein.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At any time after any Revolving Credit Lender has purchased and funded a risk participation in a Swing Line Loan, if the Swing Line Lender receives any payment on account of such Swing Line Loan, the Swing Line Lender will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If any payment received by the Swing Line Lender in respect of principal or interest on any Swing Line Loan is required to be returned by the Swing Line Lender under any of the circumstances described in </w:t>
      </w:r>
      <w:r>
        <w:rPr>
          <w:rFonts w:ascii="Times New Roman" w:hAnsi="Times New Roman"/>
          <w:color w:val="000000"/>
          <w:sz w:val="22"/>
          <w:u w:val="single"/>
        </w:rPr>
        <w:t>Section 10.06</w:t>
      </w:r>
      <w:r>
        <w:rPr>
          <w:rFonts w:ascii="Times New Roman" w:hAnsi="Times New Roman"/>
          <w:color w:val="000000"/>
          <w:sz w:val="20"/>
        </w:rPr>
        <w:t xml:space="preserve"> </w:t>
      </w:r>
      <w:r>
        <w:rPr>
          <w:rFonts w:ascii="Times New Roman" w:hAnsi="Times New Roman"/>
          <w:color w:val="000000"/>
          <w:sz w:val="22"/>
        </w:rPr>
        <w:t xml:space="preserve">(including pursuant to any settlement entered into by the Swing Line Lender in its discretion), each Revolving Credit Lender shall pay to the Swing Line Lender its Applicable Percentage thereof on demand of the Administrative Agent,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interest thereon from the date of such demand to the date such amount is returned, at a rate per annum equal to the Federal Funds Rate, or if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Federal Funds Rate is not available, a rate determined by the Administrative Agent in accordance with banking industry rules on interbank compensation. The Administrative Agent will make such demand upon the request of the Swing Line Lender. The obligations of the Lenders under this clause shall survive the payment in full of the Obligations and the termination of this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Interest for Account of Swing Line Lender</w:t>
      </w:r>
      <w:r>
        <w:rPr>
          <w:rFonts w:ascii="Times New Roman" w:hAnsi="Times New Roman"/>
          <w:color w:val="000000"/>
          <w:sz w:val="22"/>
        </w:rPr>
        <w:t xml:space="preserve">. The Swing Line Lender shall be responsible for invoicing the Borrower for interest on the Swing Line Loans. Until each Revolving Credit Lender funds its Base Rate Loan or risk participation pursuant to this </w:t>
      </w:r>
      <w:r>
        <w:rPr>
          <w:rFonts w:ascii="Times New Roman" w:hAnsi="Times New Roman"/>
          <w:color w:val="000000"/>
          <w:sz w:val="22"/>
          <w:u w:val="single"/>
        </w:rPr>
        <w:t>Section 2.04</w:t>
      </w:r>
      <w:r>
        <w:rPr>
          <w:rFonts w:ascii="Times New Roman" w:hAnsi="Times New Roman"/>
          <w:color w:val="000000"/>
          <w:sz w:val="20"/>
        </w:rPr>
        <w:t xml:space="preserve"> </w:t>
      </w:r>
      <w:r>
        <w:rPr>
          <w:rFonts w:ascii="Times New Roman" w:hAnsi="Times New Roman"/>
          <w:color w:val="000000"/>
          <w:sz w:val="22"/>
        </w:rPr>
        <w:t>to refinance such Lender’s Applicable Percentage of any Swing Line Loan, interest in respect of such Applicable Percentage shall be solely for the account of the Swing Line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Payments Directly to Swing Line Lender</w:t>
      </w:r>
      <w:r>
        <w:rPr>
          <w:rFonts w:ascii="Times New Roman" w:hAnsi="Times New Roman"/>
          <w:color w:val="000000"/>
          <w:sz w:val="22"/>
        </w:rPr>
        <w:t>. The Borrower shall make all payments of principal and interest in respect of the Swing Line Loans directly to the Swing Line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Provisions Related to Extended Revolving Credit Commitments</w:t>
      </w:r>
      <w:r>
        <w:rPr>
          <w:rFonts w:ascii="Times New Roman" w:hAnsi="Times New Roman"/>
          <w:color w:val="000000"/>
          <w:sz w:val="22"/>
        </w:rPr>
        <w:t xml:space="preserve">. If the maturity date shall have occurred in respect of any Class of Revolving Credit Commitments at a time when another Class or Classes of Revolving Credit Commitments is or are in effect with a longer maturity date, then on the earliest occurring maturity date all then-outstanding Swing Line Loans shall be repaid in full on such date (and there shall be no adjustment to the participations in such Swing Line Loans as a result of the occurrence of such maturity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on the occurrence of such earliest maturity date (after giving effect to any repayments of Revolving Credit Loans and any reallocation of Letter of Credit participations as contemplated in </w:t>
      </w:r>
      <w:r>
        <w:rPr>
          <w:rFonts w:ascii="Times New Roman" w:hAnsi="Times New Roman"/>
          <w:color w:val="000000"/>
          <w:sz w:val="22"/>
          <w:u w:val="single"/>
        </w:rPr>
        <w:t>Section 2.03(k)</w:t>
      </w:r>
      <w:r>
        <w:rPr>
          <w:rFonts w:ascii="Times New Roman" w:hAnsi="Times New Roman"/>
          <w:color w:val="000000"/>
          <w:sz w:val="22"/>
        </w:rPr>
        <w:t>), there shall exist sufficient unutilized Extended Revolving Credit Commitments so that the respective outstanding Swing Line Loans could be incurred pursuant the Extended Revolving Credit Commitments which will remain in effect after the occurrence of such maturity date, then if consented to by the Swing Line Lender, there shall be an automatic adjustment on such date of the participations in such Swing Line Loans and same shall be deemed to have been incurred solely pursuant to the relevant Extended Revolving Credit Commitments, and such Swing Line Loans shall not be so required to be repaid in full on such earliest maturity date. For the avoidance of doubt, the commitment of the Swing Line Lender to act in its capacity as such cannot be extended beyond the Maturity Date for the Revolving Credit Facility (as such Maturity Date is in effect at the Closing Date) or increased without its prior written consent.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Swing Line Lender</w:t>
      </w:r>
      <w:r>
        <w:rPr>
          <w:rFonts w:ascii="Times New Roman" w:hAnsi="Times New Roman"/>
          <w:color w:val="000000"/>
          <w:sz w:val="22"/>
        </w:rPr>
        <w:t>. Wells Fargo is a Swing Line Lender as of the Closing Date. Any other Revolving Credit Lender (or any of its Subsidiaries or Affiliates) may become the Swing Line Lender hereunder pursuant to a written agreement among the Borrower, the Administrative Agent and such Revolving Credit Lender. The Administrative Agent shall notify the Revolving Credit Lenders of any such Swing Line Lender.</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2.05 </w:t>
      </w:r>
      <w:r>
        <w:rPr>
          <w:rFonts w:ascii="Times New Roman" w:hAnsi="Times New Roman"/>
          <w:b w:val="false"/>
          <w:color w:val="000000"/>
          <w:sz w:val="22"/>
          <w:u w:val="single"/>
        </w:rPr>
        <w:t>Prepayments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Optional Prepayments</w:t>
      </w:r>
      <w:r>
        <w:rPr>
          <w:rFonts w:ascii="Times New Roman" w:hAnsi="Times New Roman"/>
          <w:color w:val="000000"/>
          <w:sz w:val="22"/>
        </w:rPr>
        <w:t xml:space="preserve">. (i) The Borrower may, upon written notice to the Administrative Agent by the Borrower, at any time or from time to time voluntarily prepay any Borrowing of any Class in whole or in part without premium or penalty);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(1) such notice must be received by the Administrative Agent not later than (A) 1:00 p.m., three (3) U.S. Government Securities Business Days prior to any date of prepayment of SOFR Loans and (B) 1:00 p.m., one (1) Business Day prior to the date of prepayment of Base Rate Loans, (2) any prepayment of SOFR Loans shall be in a principal amount of $1,000,000 or a whole multiple of $100,000 in excess thereof or, in each case, the entire principal amount thereof then outstanding and (3) any prepayment of Base Rate Loans shall be in a principal amount of $500,000 or a whole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multiple of $100,000 in excess thereof or, in each case, the entire principal amount thereof then outstanding. Each such notice shall specify the date and amount of such prepayment and the Class(es) and Type(s) of Loans to be prepaid. The Administrative Agent will promptly notify each Appropriate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SOFR Loan shall be accompanied by all accrued interest thereon, together with any additional amounts required pursuant to </w:t>
      </w:r>
      <w:r>
        <w:rPr>
          <w:rFonts w:ascii="Times New Roman" w:hAnsi="Times New Roman"/>
          <w:color w:val="000000"/>
          <w:sz w:val="22"/>
          <w:u w:val="single"/>
        </w:rPr>
        <w:t>Section 3.04</w:t>
      </w:r>
      <w:r>
        <w:rPr>
          <w:rFonts w:ascii="Times New Roman" w:hAnsi="Times New Roman"/>
          <w:color w:val="000000"/>
          <w:sz w:val="22"/>
        </w:rPr>
        <w:t xml:space="preserve">. Each prepayment of the Loans pursuant to this </w:t>
      </w:r>
      <w:r>
        <w:rPr>
          <w:rFonts w:ascii="Times New Roman" w:hAnsi="Times New Roman"/>
          <w:color w:val="000000"/>
          <w:sz w:val="22"/>
          <w:u w:val="single"/>
        </w:rPr>
        <w:t>Section 2.05(a)</w:t>
      </w:r>
      <w:r>
        <w:rPr>
          <w:rFonts w:ascii="Times New Roman" w:hAnsi="Times New Roman"/>
          <w:color w:val="000000"/>
          <w:sz w:val="20"/>
        </w:rPr>
        <w:t xml:space="preserve"> </w:t>
      </w:r>
      <w:r>
        <w:rPr>
          <w:rFonts w:ascii="Times New Roman" w:hAnsi="Times New Roman"/>
          <w:color w:val="000000"/>
          <w:sz w:val="22"/>
        </w:rPr>
        <w:t xml:space="preserve">shall be applied to the installments thereof as directed by the Borrower (it being understood and agreed that if the Borrower does not so direct at the time of such prepayment, such prepayment shall be applied against the scheduled repayments of Term Loans of the relevant Class under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in direct order of maturity) and shall be paid to the Appropriate Lenders in accordance with their respective Applicable Percentages.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The Borrower may, upon written notice to the Swing Line Lender (with a copy to the Administrative Agent), at any time or from time to time, voluntarily prepay Swing Line Loans in whole or in part without premium or penalty;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(1) such notice must be received by the Swing Line Lender and the Administrative Agent not later than 1:00 p.m. on the date of the prepayment, and (2) any such prepayment shall be in a minimum principal amount of $100,000 or a whole multiple of $100,000 in excess thereof or,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Notwithstanding anything to the contrary contained in this Agreement, the Borrower may rescind any notice of prepayment or change the date of any such prepayment under </w:t>
      </w:r>
      <w:r>
        <w:rPr>
          <w:rFonts w:ascii="Times New Roman" w:hAnsi="Times New Roman"/>
          <w:color w:val="000000"/>
          <w:sz w:val="22"/>
          <w:u w:val="single"/>
        </w:rPr>
        <w:t>Section 2.05(a)</w:t>
      </w:r>
      <w:r>
        <w:rPr>
          <w:rFonts w:ascii="Times New Roman" w:hAnsi="Times New Roman"/>
          <w:color w:val="000000"/>
          <w:sz w:val="20"/>
        </w:rPr>
        <w:t xml:space="preserve"> </w:t>
      </w:r>
      <w:r>
        <w:rPr>
          <w:rFonts w:ascii="Times New Roman" w:hAnsi="Times New Roman"/>
          <w:color w:val="000000"/>
          <w:sz w:val="22"/>
        </w:rPr>
        <w:t>if such prepayment would have resulted from a refinancing of all of the Facilities, which refinancing shall not be consummated or shall otherwise be delayed.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Mandatory Prepayments</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[Reserved];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(A) Subject to </w:t>
      </w:r>
      <w:r>
        <w:rPr>
          <w:rFonts w:ascii="Times New Roman" w:hAnsi="Times New Roman"/>
          <w:color w:val="000000"/>
          <w:sz w:val="22"/>
          <w:u w:val="single"/>
        </w:rPr>
        <w:t>Section 2.05(b)(ii)(B)</w:t>
      </w:r>
      <w:r>
        <w:rPr>
          <w:rFonts w:ascii="Times New Roman" w:hAnsi="Times New Roman"/>
          <w:color w:val="000000"/>
          <w:sz w:val="22"/>
        </w:rPr>
        <w:t xml:space="preserve">, if following the Closing Date (x) the Borrower or any Restricted Subsidiary Disposes of any property or assets pursuant to </w:t>
      </w:r>
      <w:r>
        <w:rPr>
          <w:rFonts w:ascii="Times New Roman" w:hAnsi="Times New Roman"/>
          <w:color w:val="000000"/>
          <w:sz w:val="22"/>
          <w:u w:val="single"/>
        </w:rPr>
        <w:t>Section 7.05(i)</w:t>
      </w:r>
      <w:r>
        <w:rPr>
          <w:rFonts w:ascii="Times New Roman" w:hAnsi="Times New Roman"/>
          <w:color w:val="000000"/>
          <w:sz w:val="22"/>
        </w:rPr>
        <w:t xml:space="preserve">, </w:t>
      </w:r>
      <w:r>
        <w:rPr>
          <w:rFonts w:ascii="Times New Roman" w:hAnsi="Times New Roman"/>
          <w:color w:val="000000"/>
          <w:sz w:val="22"/>
          <w:u w:val="single"/>
        </w:rPr>
        <w:t>(l)</w:t>
      </w:r>
      <w:r>
        <w:rPr>
          <w:rFonts w:ascii="Times New Roman" w:hAnsi="Times New Roman"/>
          <w:color w:val="000000"/>
          <w:sz w:val="22"/>
        </w:rPr>
        <w:t xml:space="preserve">, </w:t>
      </w:r>
      <w:r>
        <w:rPr>
          <w:rFonts w:ascii="Times New Roman" w:hAnsi="Times New Roman"/>
          <w:color w:val="000000"/>
          <w:sz w:val="22"/>
          <w:u w:val="single"/>
        </w:rPr>
        <w:t>(m)</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(o)</w:t>
      </w:r>
      <w:r>
        <w:rPr>
          <w:rFonts w:ascii="Times New Roman" w:hAnsi="Times New Roman"/>
          <w:color w:val="000000"/>
          <w:sz w:val="22"/>
        </w:rPr>
        <w:t xml:space="preserve">, or (y) any Casualty Event occurs, which in the aggregate results in the realization or receipt by the Borrower or such Restricted Subsidiary of Net Cash Proceeds, the Borrower shall make a prepayment, in accordance with </w:t>
      </w:r>
      <w:r>
        <w:rPr>
          <w:rFonts w:ascii="Times New Roman" w:hAnsi="Times New Roman"/>
          <w:color w:val="000000"/>
          <w:sz w:val="22"/>
          <w:u w:val="single"/>
        </w:rPr>
        <w:t>Section 2.05(b)(ii)(C)</w:t>
      </w:r>
      <w:r>
        <w:rPr>
          <w:rFonts w:ascii="Times New Roman" w:hAnsi="Times New Roman"/>
          <w:color w:val="000000"/>
          <w:sz w:val="22"/>
        </w:rPr>
        <w:t>, in an amount equal to an aggregate principal amount of Term Loans equal to 100% (such percentage, the “</w:t>
      </w:r>
      <w:r>
        <w:rPr>
          <w:rFonts w:ascii="Times New Roman" w:hAnsi="Times New Roman"/>
          <w:color w:val="000000"/>
          <w:sz w:val="22"/>
          <w:u w:val="single"/>
        </w:rPr>
        <w:t>Asset Percentage</w:t>
      </w:r>
      <w:r>
        <w:rPr>
          <w:rFonts w:ascii="Times New Roman" w:hAnsi="Times New Roman"/>
          <w:color w:val="000000"/>
          <w:sz w:val="20"/>
        </w:rPr>
        <w:t>”</w:t>
      </w:r>
      <w:r>
        <w:rPr>
          <w:rFonts w:ascii="Times New Roman" w:hAnsi="Times New Roman"/>
          <w:color w:val="000000"/>
          <w:sz w:val="22"/>
        </w:rPr>
        <w:t>) of all such Net Cash Proceeds realized or received;</w:t>
      </w:r>
      <w:r>
        <w:rPr>
          <w:rFonts w:ascii="Times New Roman" w:hAnsi="Times New Roman"/>
          <w:color w:val="000000"/>
          <w:sz w:val="20"/>
          <w:u w:val="single"/>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(1) no such prepayment shall be required pursuant to this </w:t>
      </w:r>
      <w:r>
        <w:rPr>
          <w:rFonts w:ascii="Times New Roman" w:hAnsi="Times New Roman"/>
          <w:color w:val="000000"/>
          <w:sz w:val="22"/>
          <w:u w:val="single"/>
        </w:rPr>
        <w:t>Section 2.05(b)(ii)(A)</w:t>
      </w:r>
      <w:r>
        <w:rPr>
          <w:rFonts w:ascii="Times New Roman" w:hAnsi="Times New Roman"/>
          <w:color w:val="000000"/>
          <w:sz w:val="20"/>
        </w:rPr>
        <w:t xml:space="preserve"> </w:t>
      </w:r>
      <w:r>
        <w:rPr>
          <w:rFonts w:ascii="Times New Roman" w:hAnsi="Times New Roman"/>
          <w:color w:val="000000"/>
          <w:sz w:val="22"/>
        </w:rPr>
        <w:t xml:space="preserve">(I) with respect to such portion of such Net Cash Proceeds that the Borrower shall have, on or prior to such date, given written notice to the Administrative Agent of their intent to reinvest in accordance with </w:t>
      </w:r>
      <w:r>
        <w:rPr>
          <w:rFonts w:ascii="Times New Roman" w:hAnsi="Times New Roman"/>
          <w:color w:val="000000"/>
          <w:sz w:val="22"/>
          <w:u w:val="single"/>
        </w:rPr>
        <w:t>Section 2.05(b)(ii)(B)</w:t>
      </w:r>
      <w:r>
        <w:rPr>
          <w:rFonts w:ascii="Times New Roman" w:hAnsi="Times New Roman"/>
          <w:color w:val="000000"/>
          <w:sz w:val="20"/>
        </w:rPr>
        <w:t xml:space="preserve"> </w:t>
      </w:r>
      <w:r>
        <w:rPr>
          <w:rFonts w:ascii="Times New Roman" w:hAnsi="Times New Roman"/>
          <w:color w:val="000000"/>
          <w:sz w:val="22"/>
        </w:rPr>
        <w:t xml:space="preserve">or (II) until the aggregate amount of Net Cash Proceeds not reinvested in accordance with </w:t>
      </w:r>
      <w:r>
        <w:rPr>
          <w:rFonts w:ascii="Times New Roman" w:hAnsi="Times New Roman"/>
          <w:color w:val="000000"/>
          <w:sz w:val="22"/>
          <w:u w:val="single"/>
        </w:rPr>
        <w:t>Section 2.05(b)(ii)(B)</w:t>
      </w:r>
      <w:r>
        <w:rPr>
          <w:rFonts w:ascii="Times New Roman" w:hAnsi="Times New Roman"/>
          <w:color w:val="000000"/>
          <w:sz w:val="20"/>
        </w:rPr>
        <w:t xml:space="preserve"> </w:t>
      </w:r>
      <w:r>
        <w:rPr>
          <w:rFonts w:ascii="Times New Roman" w:hAnsi="Times New Roman"/>
          <w:color w:val="000000"/>
          <w:sz w:val="22"/>
        </w:rPr>
        <w:t>within the time periods set forth therein and not previously applied to such prepayment exceeds $5,000,000 in the aggregate during such fiscal year (and thereafter only amounts in excess of such thresholds shall be required to be prepaid) and (2) if at the time that any such prepayment would be required, the Borrower or any of its Restricted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Subsidiaries are required to offer to repurchase or prepay any Indebtedness that is secured by a Lien ranking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Liens securing the Term Loans pursuant to the terms of the documentation governing such Indebtedness with the Net Cash Proceeds of such Disposition or Casualty Event (such Indebtedness required to be offered to be so repurchased or prepaid, “</w:t>
      </w:r>
      <w:r>
        <w:rPr>
          <w:rFonts w:ascii="Times New Roman" w:hAnsi="Times New Roman"/>
          <w:color w:val="000000"/>
          <w:sz w:val="22"/>
          <w:u w:val="single"/>
        </w:rPr>
        <w:t>Other Applicable Indebtedness</w:t>
      </w:r>
      <w:r>
        <w:rPr>
          <w:rFonts w:ascii="Times New Roman" w:hAnsi="Times New Roman"/>
          <w:color w:val="000000"/>
          <w:sz w:val="20"/>
        </w:rPr>
        <w:t>”</w:t>
      </w:r>
      <w:r>
        <w:rPr>
          <w:rFonts w:ascii="Times New Roman" w:hAnsi="Times New Roman"/>
          <w:color w:val="000000"/>
          <w:sz w:val="22"/>
        </w:rPr>
        <w:t xml:space="preserve">), then the Borrower may apply such Net Cash Proceeds on a pro rata basis (determined on the basis of the aggregate outstanding principal amount of the Term Loans and Other Applicable Indebtedness at such time) to the prepayment of the Term Loans and to the repurchase or prepayment of Other Applicable Indebtedness, and the amount of prepayment of the Term Loans that would have otherwise been required pursuant to this </w:t>
      </w:r>
      <w:r>
        <w:rPr>
          <w:rFonts w:ascii="Times New Roman" w:hAnsi="Times New Roman"/>
          <w:color w:val="000000"/>
          <w:sz w:val="22"/>
          <w:u w:val="single"/>
        </w:rPr>
        <w:t>Section 2.05(b)(ii)(A)</w:t>
      </w:r>
      <w:r>
        <w:rPr>
          <w:rFonts w:ascii="Times New Roman" w:hAnsi="Times New Roman"/>
          <w:color w:val="000000"/>
          <w:sz w:val="20"/>
        </w:rPr>
        <w:t xml:space="preserve"> </w:t>
      </w:r>
      <w:r>
        <w:rPr>
          <w:rFonts w:ascii="Times New Roman" w:hAnsi="Times New Roman"/>
          <w:color w:val="000000"/>
          <w:sz w:val="22"/>
        </w:rPr>
        <w:t xml:space="preserve">shall be reduced accordingly;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Loans in accordance with the terms hereof and (b) to the extent the holders of Other Applicable Indebtedness decline to have such indebtedness repurchased or prepaid, the declined amount shall promptly (and in any event within five (5) Business Days after the date of such rejection) be applied to prepay the Term Loans in accordance with the terms hereof.</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(B) With respect to any Net Cash Proceeds realized or received with respect to any Disposition (other than any Disposition specifically excluded from the application of </w:t>
      </w:r>
      <w:r>
        <w:rPr>
          <w:rFonts w:ascii="Times New Roman" w:hAnsi="Times New Roman"/>
          <w:color w:val="000000"/>
          <w:sz w:val="22"/>
          <w:u w:val="single"/>
        </w:rPr>
        <w:t>Section 2.05(b)(ii)(A)</w:t>
      </w:r>
      <w:r>
        <w:rPr>
          <w:rFonts w:ascii="Times New Roman" w:hAnsi="Times New Roman"/>
          <w:color w:val="000000"/>
          <w:sz w:val="22"/>
        </w:rPr>
        <w:t xml:space="preserve">) or any Casualty Event, at the option of the Borrower, the Borrower or any Restricted Subsidiary may reinvest an amount equal to all or any portion of such Net Cash Proceeds in assets useful for its business (other than working capital, except for short-term capital assets but including Permitted Acquisitions and Capital Expenditures) within (x) eighteen (18) months following receipt of such Net Cash Proceeds or (y) if the Borrower or any Restricted Subsidiary enters into a commitment to reinvest such Net Cash Proceeds within eighteen (18) months following receipt thereof, one hundred eighty (180) days after the eighteen (18) month period that follows receipt of such Net Cash Proceeds;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that</w:t>
      </w:r>
      <w:r>
        <w:rPr>
          <w:rFonts w:ascii="Times New Roman" w:hAnsi="Times New Roman"/>
          <w:color w:val="000000"/>
          <w:sz w:val="22"/>
        </w:rPr>
        <w:t xml:space="preserve">, if any Net Cash Proceeds are not so reinvested by the deadline specified in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 xml:space="preserve">above, as applicable, or if any such Net Cash Proceeds are no longer intended to be or cannot be so reinvested at any time after delivery of a notice of reinvestment election, an amount equal to the Asset Percentage of any such Net Cash Proceeds shall be applied, in accordance with </w:t>
      </w:r>
      <w:r>
        <w:rPr>
          <w:rFonts w:ascii="Times New Roman" w:hAnsi="Times New Roman"/>
          <w:color w:val="000000"/>
          <w:sz w:val="22"/>
          <w:u w:val="single"/>
        </w:rPr>
        <w:t>Section 2.05(b)(ii)(C)</w:t>
      </w:r>
      <w:r>
        <w:rPr>
          <w:rFonts w:ascii="Times New Roman" w:hAnsi="Times New Roman"/>
          <w:color w:val="000000"/>
          <w:sz w:val="22"/>
        </w:rPr>
        <w:t xml:space="preserve">, to the prepayment of the Term Loans as set forth in this </w:t>
      </w:r>
      <w:r>
        <w:rPr>
          <w:rFonts w:ascii="Times New Roman" w:hAnsi="Times New Roman"/>
          <w:color w:val="000000"/>
          <w:sz w:val="22"/>
          <w:u w:val="single"/>
        </w:rPr>
        <w:t>Section 2.05</w:t>
      </w:r>
      <w:r>
        <w:rPr>
          <w:rFonts w:ascii="Times New Roman" w:hAnsi="Times New Roman"/>
          <w:color w:val="000000"/>
          <w:sz w:val="22"/>
        </w:rPr>
        <w:t>.</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(C) On each occasion that the Borrower must make a prepayment of the Term Loans pursuant to this </w:t>
      </w:r>
      <w:r>
        <w:rPr>
          <w:rFonts w:ascii="Times New Roman" w:hAnsi="Times New Roman"/>
          <w:color w:val="000000"/>
          <w:sz w:val="22"/>
          <w:u w:val="single"/>
        </w:rPr>
        <w:t>Section 2.05(b)(ii)</w:t>
      </w:r>
      <w:r>
        <w:rPr>
          <w:rFonts w:ascii="Times New Roman" w:hAnsi="Times New Roman"/>
          <w:color w:val="000000"/>
          <w:sz w:val="22"/>
        </w:rPr>
        <w:t xml:space="preserve">, the Borrower shall, within five (5) Business Days after the date of realization or receipt of such Net Cash Proceeds in the minimum amount specified above (or, in the case of prepayments required pursuant to </w:t>
      </w:r>
      <w:r>
        <w:rPr>
          <w:rFonts w:ascii="Times New Roman" w:hAnsi="Times New Roman"/>
          <w:color w:val="000000"/>
          <w:sz w:val="22"/>
          <w:u w:val="single"/>
        </w:rPr>
        <w:t>Section 2.05(b)(ii)(B)</w:t>
      </w:r>
      <w:r>
        <w:rPr>
          <w:rFonts w:ascii="Times New Roman" w:hAnsi="Times New Roman"/>
          <w:color w:val="000000"/>
          <w:sz w:val="22"/>
        </w:rPr>
        <w:t xml:space="preserve">, within five (5) Business Days of the deadline specified in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 xml:space="preserve">thereof, as applicable, or of the date the Borrower reasonably determines that such Net Cash Proceeds are no longer intended to be or cannot be so reinvested, as the case may be), make a prepayment, in accordance with </w:t>
      </w:r>
      <w:r>
        <w:rPr>
          <w:rFonts w:ascii="Times New Roman" w:hAnsi="Times New Roman"/>
          <w:color w:val="000000"/>
          <w:sz w:val="22"/>
          <w:u w:val="single"/>
        </w:rPr>
        <w:t>Section 2.05(b)(vi)</w:t>
      </w:r>
      <w:r>
        <w:rPr>
          <w:rFonts w:ascii="Times New Roman" w:hAnsi="Times New Roman"/>
          <w:color w:val="000000"/>
          <w:sz w:val="20"/>
        </w:rPr>
        <w:t xml:space="preserve"> </w:t>
      </w:r>
      <w:r>
        <w:rPr>
          <w:rFonts w:ascii="Times New Roman" w:hAnsi="Times New Roman"/>
          <w:color w:val="000000"/>
          <w:sz w:val="22"/>
        </w:rPr>
        <w:t>below, of the principal amount of Term Loans in an amount equal to the Asset Percentage of such Net Cash Proceeds realized or received.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If, following the Closing Date, the Borrower or any Restricted Subsidiary incurs or issues any (A) Refinancing Term Loans, (B) Indebtedness pursuant to </w:t>
      </w:r>
      <w:r>
        <w:rPr>
          <w:rFonts w:ascii="Times New Roman" w:hAnsi="Times New Roman"/>
          <w:color w:val="000000"/>
          <w:sz w:val="22"/>
          <w:u w:val="single"/>
        </w:rPr>
        <w:t>Section 7.03(w)</w:t>
      </w:r>
      <w:r>
        <w:rPr>
          <w:rFonts w:ascii="Times New Roman" w:hAnsi="Times New Roman"/>
          <w:color w:val="000000"/>
          <w:sz w:val="20"/>
        </w:rPr>
        <w:t xml:space="preserve"> </w:t>
      </w:r>
      <w:r>
        <w:rPr>
          <w:rFonts w:ascii="Times New Roman" w:hAnsi="Times New Roman"/>
          <w:color w:val="000000"/>
          <w:sz w:val="22"/>
        </w:rPr>
        <w:t xml:space="preserve">or (C) Indebtedness not expressly permitted to be incurred or issued pursuant to </w:t>
      </w:r>
      <w:r>
        <w:rPr>
          <w:rFonts w:ascii="Times New Roman" w:hAnsi="Times New Roman"/>
          <w:color w:val="000000"/>
          <w:sz w:val="22"/>
          <w:u w:val="single"/>
        </w:rPr>
        <w:t>Section 7.03</w:t>
      </w:r>
      <w:r>
        <w:rPr>
          <w:rFonts w:ascii="Times New Roman" w:hAnsi="Times New Roman"/>
          <w:color w:val="000000"/>
          <w:sz w:val="22"/>
        </w:rPr>
        <w:t xml:space="preserve">, the Borrower shall cause to be prepaid an aggregate principal amount of Term Loans equal to 100% of all Net Cash Proceeds received therefrom on or prior to the date which is three (3) Business Days after the receipt of such Net Cash Proceeds. If the Borrower obtains any Refinancing Revolving Commitments, the Borrower shall, concurrently with the receipt thereof, terminate Revolving Credit Commitments in an equivalent amount pursuant to </w:t>
      </w:r>
      <w:r>
        <w:rPr>
          <w:rFonts w:ascii="Times New Roman" w:hAnsi="Times New Roman"/>
          <w:color w:val="000000"/>
          <w:sz w:val="22"/>
          <w:u w:val="single"/>
        </w:rPr>
        <w:t>Section 2.06</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(iv) [Reserved].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 Each prepayment of Term Loans pursuant to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shall be applied, to the installments thereof in direct order of maturity pursuant to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 xml:space="preserve">following the applicable prepayment event;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except to the extent a lesser prepayment is required pursuant to the applicable Incremental Facility Amendment or Extension Offer with respect to any applicable Class of Incremental Term Loans or Extended Term Loans, any Incremental Term Loans and Extended Term Loans shall receive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portion of any mandatory prepayment pursuant to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to the extent required by the terms thereof. After application of such prepayments to repay the Term Loans in full, such prepayments shall be applied to prepay, </w:t>
      </w:r>
      <w:r>
        <w:rPr>
          <w:rFonts w:ascii="Times New Roman" w:hAnsi="Times New Roman"/>
          <w:color w:val="000000"/>
          <w:sz w:val="22"/>
          <w:u w:val="single"/>
        </w:rPr>
        <w:t>first</w:t>
      </w:r>
      <w:r>
        <w:rPr>
          <w:rFonts w:ascii="Times New Roman" w:hAnsi="Times New Roman"/>
          <w:color w:val="000000"/>
          <w:sz w:val="22"/>
        </w:rPr>
        <w:t xml:space="preserve">, Revolving Credit Loans (with no required reduction of Revolving Credit Commitments) and </w:t>
      </w:r>
      <w:r>
        <w:rPr>
          <w:rFonts w:ascii="Times New Roman" w:hAnsi="Times New Roman"/>
          <w:color w:val="000000"/>
          <w:sz w:val="22"/>
          <w:u w:val="single"/>
        </w:rPr>
        <w:t>second</w:t>
      </w:r>
      <w:r>
        <w:rPr>
          <w:rFonts w:ascii="Times New Roman" w:hAnsi="Times New Roman"/>
          <w:color w:val="000000"/>
          <w:sz w:val="22"/>
        </w:rPr>
        <w:t xml:space="preserve">, Swing Line Loans (with no required reduction of Revolving Credit Commitments) and, </w:t>
      </w:r>
      <w:r>
        <w:rPr>
          <w:rFonts w:ascii="Times New Roman" w:hAnsi="Times New Roman"/>
          <w:color w:val="000000"/>
          <w:sz w:val="22"/>
          <w:u w:val="single"/>
        </w:rPr>
        <w:t>third</w:t>
      </w:r>
      <w:r>
        <w:rPr>
          <w:rFonts w:ascii="Times New Roman" w:hAnsi="Times New Roman"/>
          <w:color w:val="000000"/>
          <w:sz w:val="22"/>
        </w:rPr>
        <w:t xml:space="preserve">, if there is no Outstanding Amount of Revolving Credit Loans or Swing Line Loans and if an Event of Default has occurred and is continuing, to Cash Collateralize the L/C Obligations. Each such prepayment shall be paid to the Lenders in accordance with their respective Applicable Percentages subject to </w:t>
      </w:r>
      <w:r>
        <w:rPr>
          <w:rFonts w:ascii="Times New Roman" w:hAnsi="Times New Roman"/>
          <w:color w:val="000000"/>
          <w:sz w:val="22"/>
          <w:u w:val="single"/>
        </w:rPr>
        <w:t>clause (vi)</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2.05(b)</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 The Borrower shall notify the Administrative Agent in writing of any mandatory prepayment of Term Loans required to be made pursuant to </w:t>
      </w:r>
      <w:r>
        <w:rPr>
          <w:rFonts w:ascii="Times New Roman" w:hAnsi="Times New Roman"/>
          <w:color w:val="000000"/>
          <w:sz w:val="22"/>
          <w:u w:val="single"/>
        </w:rPr>
        <w:t>clauses (i)</w:t>
      </w:r>
      <w:r>
        <w:rPr>
          <w:rFonts w:ascii="Times New Roman" w:hAnsi="Times New Roman"/>
          <w:color w:val="000000"/>
          <w:sz w:val="22"/>
        </w:rPr>
        <w:t xml:space="preserve">,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(iii)</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prior to 1:00 p.m. at least two (2) Business Days (or such lesser number of Business Days as shall be acceptable to the Administrative Agent) prior to the date of such prepayment. Each such notice shall specify the date of such prepayment and provide a reasonably detailed calculation of the amount of such prepayment. The Administrative Agent will promptly notify each Appropriate Lender of the contents of the Borrower’s prepayment notice and of such Appropriate Lender’s Applicable Percentage of the prepayment. Each Appropriate Lender may reject all, but not less than all, of its Applicable Percentage of any mandatory prepayment (such declined amounts, the “</w:t>
      </w:r>
      <w:r>
        <w:rPr>
          <w:rFonts w:ascii="Times New Roman" w:hAnsi="Times New Roman"/>
          <w:color w:val="000000"/>
          <w:sz w:val="22"/>
          <w:u w:val="single"/>
        </w:rPr>
        <w:t>Declined Proceeds</w:t>
      </w:r>
      <w:r>
        <w:rPr>
          <w:rFonts w:ascii="Times New Roman" w:hAnsi="Times New Roman"/>
          <w:color w:val="000000"/>
          <w:sz w:val="20"/>
        </w:rPr>
        <w:t>”</w:t>
      </w:r>
      <w:r>
        <w:rPr>
          <w:rFonts w:ascii="Times New Roman" w:hAnsi="Times New Roman"/>
          <w:color w:val="000000"/>
          <w:sz w:val="22"/>
        </w:rPr>
        <w:t xml:space="preserve">) of Term Loans required to be made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or (ii) of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by providing written notice (each, a “</w:t>
      </w:r>
      <w:r>
        <w:rPr>
          <w:rFonts w:ascii="Times New Roman" w:hAnsi="Times New Roman"/>
          <w:color w:val="000000"/>
          <w:sz w:val="22"/>
          <w:u w:val="single"/>
        </w:rPr>
        <w:t>Rejection Notice</w:t>
      </w:r>
      <w:r>
        <w:rPr>
          <w:rFonts w:ascii="Times New Roman" w:hAnsi="Times New Roman"/>
          <w:color w:val="000000"/>
          <w:sz w:val="20"/>
        </w:rPr>
        <w:t>”</w:t>
      </w:r>
      <w:r>
        <w:rPr>
          <w:rFonts w:ascii="Times New Roman" w:hAnsi="Times New Roman"/>
          <w:color w:val="000000"/>
          <w:sz w:val="22"/>
        </w:rPr>
        <w:t>) to the Administrative Agent and the Borrower no later than 5:00 p.m. two (2) Business Days prior to the prepayment. Each Rejection Notice from a given Lender shall specify the principal amount of the Declined Proceeds to be rejected by such Lender. If a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w:t>
      </w:r>
      <w:r>
        <w:rPr>
          <w:rFonts w:ascii="Times New Roman" w:hAnsi="Times New Roman"/>
          <w:color w:val="000000"/>
          <w:sz w:val="22"/>
          <w:u w:val="single"/>
        </w:rPr>
        <w:t>Retained Declined Proceeds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(vii) If at any time, the Revolving Credit Exposure (excluding the face amount of any Letters of Credit that are Cash Collateralized or back-stopped to the reasonable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satisfaction of the Administrative Agent) exceeds the Revolving Credit Commitments, the Borrower shall within one Business Day, upon notification by the Administrative Agent, prepay the Swing Line Loans first and then prepay (or Cash Collateralize, in the amount required by </w:t>
      </w:r>
      <w:r>
        <w:rPr>
          <w:rFonts w:ascii="Times New Roman" w:hAnsi="Times New Roman"/>
          <w:color w:val="000000"/>
          <w:sz w:val="22"/>
          <w:u w:val="single"/>
        </w:rPr>
        <w:t>Section 2.03(f)</w:t>
      </w:r>
      <w:r>
        <w:rPr>
          <w:rFonts w:ascii="Times New Roman" w:hAnsi="Times New Roman"/>
          <w:color w:val="000000"/>
          <w:sz w:val="22"/>
        </w:rPr>
        <w:t xml:space="preserve">, in the case of Letters of Credit) the other Loans and Letters of Credit then outstanding in an amount equal to such excess;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w:t>
      </w:r>
      <w:r>
        <w:rPr>
          <w:rFonts w:ascii="Times New Roman" w:hAnsi="Times New Roman"/>
          <w:color w:val="000000"/>
          <w:sz w:val="22"/>
          <w:u w:val="single"/>
        </w:rPr>
        <w:t>clause (b)(vii)</w:t>
      </w:r>
      <w:r>
        <w:rPr>
          <w:rFonts w:ascii="Times New Roman" w:hAnsi="Times New Roman"/>
          <w:color w:val="000000"/>
          <w:sz w:val="20"/>
        </w:rPr>
        <w:t xml:space="preserve"> </w:t>
      </w:r>
      <w:r>
        <w:rPr>
          <w:rFonts w:ascii="Times New Roman" w:hAnsi="Times New Roman"/>
          <w:color w:val="000000"/>
          <w:sz w:val="22"/>
        </w:rPr>
        <w:t>shall reduce the Revolving Credit Commitments.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(viii) Notwithstanding any other provision of this </w:t>
      </w:r>
      <w:r>
        <w:rPr>
          <w:rFonts w:ascii="Times New Roman" w:hAnsi="Times New Roman"/>
          <w:color w:val="000000"/>
          <w:sz w:val="22"/>
          <w:u w:val="single"/>
        </w:rPr>
        <w:t>Section 2.05(b)</w:t>
      </w:r>
      <w:r>
        <w:rPr>
          <w:rFonts w:ascii="Times New Roman" w:hAnsi="Times New Roman"/>
          <w:color w:val="000000"/>
          <w:sz w:val="22"/>
        </w:rPr>
        <w:t xml:space="preserve">, (i) to the extent that any or all of the Net Cash Proceeds of any Disposition by a Restricted Subsidiary that is a Foreign Subsidiary otherwise giving rise to a prepayment pursuant to </w:t>
      </w:r>
      <w:r>
        <w:rPr>
          <w:rFonts w:ascii="Times New Roman" w:hAnsi="Times New Roman"/>
          <w:color w:val="000000"/>
          <w:sz w:val="22"/>
          <w:u w:val="single"/>
        </w:rPr>
        <w:t>Section 2.05(b)(ii)</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Restricted Disposition</w:t>
      </w:r>
      <w:r>
        <w:rPr>
          <w:rFonts w:ascii="Times New Roman" w:hAnsi="Times New Roman"/>
          <w:color w:val="000000"/>
          <w:sz w:val="20"/>
        </w:rPr>
        <w:t>”</w:t>
      </w:r>
      <w:r>
        <w:rPr>
          <w:rFonts w:ascii="Times New Roman" w:hAnsi="Times New Roman"/>
          <w:color w:val="000000"/>
          <w:sz w:val="22"/>
        </w:rPr>
        <w:t>), the Net Cash Proceeds of any Casualty Event of a Restricted Subsidiary that is a Foreign Subsidiary (a “</w:t>
      </w:r>
      <w:r>
        <w:rPr>
          <w:rFonts w:ascii="Times New Roman" w:hAnsi="Times New Roman"/>
          <w:color w:val="000000"/>
          <w:sz w:val="22"/>
          <w:u w:val="single"/>
        </w:rPr>
        <w:t>Restricted Casualty Event</w:t>
      </w:r>
      <w:r>
        <w:rPr>
          <w:rFonts w:ascii="Times New Roman" w:hAnsi="Times New Roman"/>
          <w:color w:val="000000"/>
          <w:sz w:val="20"/>
        </w:rPr>
        <w:t>”</w:t>
      </w:r>
      <w:r>
        <w:rPr>
          <w:rFonts w:ascii="Times New Roman" w:hAnsi="Times New Roman"/>
          <w:color w:val="000000"/>
          <w:sz w:val="22"/>
        </w:rPr>
        <w:t xml:space="preserve">) would be prohibited or delayed by applicable local law or regulation (including currency controls, financial assistance, corporate benefit, restrictions on upstreaming of cash intra group and the fiduciary and statutory duties of directors of such Subsidiary) from being distributed or otherwise transferred to the Borrower, the realization or receipt of the portion of such Net Cash Proceeds so affected will not be taken into account in measuring the Borrower’s obligation to repay Term Loans at the times provided in </w:t>
      </w:r>
      <w:r>
        <w:rPr>
          <w:rFonts w:ascii="Times New Roman" w:hAnsi="Times New Roman"/>
          <w:color w:val="000000"/>
          <w:sz w:val="22"/>
          <w:u w:val="single"/>
        </w:rPr>
        <w:t>Section 2.05(b)(i)</w:t>
      </w:r>
      <w:r>
        <w:rPr>
          <w:rFonts w:ascii="Times New Roman" w:hAnsi="Times New Roman"/>
          <w:color w:val="000000"/>
          <w:sz w:val="22"/>
        </w:rPr>
        <w:t xml:space="preserve">, or the Borrower shall not be required to make a prepayment at the time provided in </w:t>
      </w:r>
      <w:r>
        <w:rPr>
          <w:rFonts w:ascii="Times New Roman" w:hAnsi="Times New Roman"/>
          <w:color w:val="000000"/>
          <w:sz w:val="22"/>
          <w:u w:val="single"/>
        </w:rPr>
        <w:t>Section 2.05(b)(ii)</w:t>
      </w:r>
      <w:r>
        <w:rPr>
          <w:rFonts w:ascii="Times New Roman" w:hAnsi="Times New Roman"/>
          <w:color w:val="000000"/>
          <w:sz w:val="22"/>
        </w:rPr>
        <w:t xml:space="preserve">, as the case may be, for so long, but only so long, as the applicable local law will not permit such distribution or transfer (the Borrower hereby agreeing to cause the applicable Restricted Subsidiary to promptly take all commercially reasonable actions available under the applicable local law to permit such repatriation), and once distribution or transfer of any of such affected Net Cash Proceeds is permitted under the applicable local law, the amount of such Net Cash Proceeds permitted to be distributed or transferred (net of additional taxes payable or reserved against as a result thereof) will be promptly (and in any event not later than three (3) Business Days after such distribution or transfer is permitted) taken into account in measuring the Borrower’s obligation to repay the Term Loans pursuant to this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to the extent provided herein and (ii) to the extent that the Borrower has determined in good faith (as set forth in a written notice delivered to the Administrative Agent) that repatriation of, or obligation to repatriate, any or all of the Net Cash Proceeds of any Restricted Disposition or any Restricted Casualty Event attributable to a Foreign Subsidiary would have a material adverse tax consequences (taking into account any foreign tax credit or benefit received in connection with such repatriation) (as determined by the Borrower in good faith and in consultation with the Administrative Agent), the amount of the Net Cash Proceeds so affected shall not be taken into account in measuring the Borrower’s obligation to repay Term Loans pursuant to this </w:t>
      </w:r>
      <w:r>
        <w:rPr>
          <w:rFonts w:ascii="Times New Roman" w:hAnsi="Times New Roman"/>
          <w:color w:val="000000"/>
          <w:sz w:val="22"/>
          <w:u w:val="single"/>
        </w:rPr>
        <w:t>Section 2.05(b)</w:t>
      </w:r>
      <w:r>
        <w:rPr>
          <w:rFonts w:ascii="Times New Roman" w:hAnsi="Times New Roman"/>
          <w:color w:val="000000"/>
          <w:sz w:val="22"/>
        </w:rPr>
        <w:t xml:space="preserve">. For the avoidance of doubt, Net Cash Proceeds (and related income) excluded from application under </w:t>
      </w:r>
      <w:r>
        <w:rPr>
          <w:rFonts w:ascii="Times New Roman" w:hAnsi="Times New Roman"/>
          <w:color w:val="000000"/>
          <w:sz w:val="22"/>
          <w:u w:val="single"/>
        </w:rPr>
        <w:t>Section 2.05(b)(i)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by operation of this </w:t>
      </w:r>
      <w:r>
        <w:rPr>
          <w:rFonts w:ascii="Times New Roman" w:hAnsi="Times New Roman"/>
          <w:color w:val="000000"/>
          <w:sz w:val="22"/>
          <w:u w:val="single"/>
        </w:rPr>
        <w:t>Section 2.05(b)(viii)</w:t>
      </w:r>
      <w:r>
        <w:rPr>
          <w:rFonts w:ascii="Times New Roman" w:hAnsi="Times New Roman"/>
          <w:color w:val="000000"/>
          <w:sz w:val="20"/>
        </w:rPr>
        <w:t xml:space="preserve"> </w:t>
      </w:r>
      <w:r>
        <w:rPr>
          <w:rFonts w:ascii="Times New Roman" w:hAnsi="Times New Roman"/>
          <w:color w:val="000000"/>
          <w:sz w:val="22"/>
        </w:rPr>
        <w:t xml:space="preserve">shall also be excluded in any determinations of Restricted Payments permitted to be made pursuant to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 xml:space="preserve">(including, without limitation, for purposes of </w:t>
      </w:r>
      <w:r>
        <w:rPr>
          <w:rFonts w:ascii="Times New Roman" w:hAnsi="Times New Roman"/>
          <w:color w:val="000000"/>
          <w:sz w:val="22"/>
          <w:u w:val="single"/>
        </w:rPr>
        <w:t>clauses (b)(ii)</w:t>
      </w:r>
      <w:r>
        <w:rPr>
          <w:rFonts w:ascii="Times New Roman" w:hAnsi="Times New Roman"/>
          <w:color w:val="000000"/>
          <w:sz w:val="20"/>
        </w:rPr>
        <w:t xml:space="preserve"> </w:t>
      </w:r>
      <w:r>
        <w:rPr>
          <w:rFonts w:ascii="Times New Roman" w:hAnsi="Times New Roman"/>
          <w:color w:val="000000"/>
          <w:sz w:val="22"/>
        </w:rPr>
        <w:t>and (b)</w:t>
      </w:r>
      <w:r>
        <w:rPr>
          <w:rFonts w:ascii="Times New Roman" w:hAnsi="Times New Roman"/>
          <w:color w:val="000000"/>
          <w:sz w:val="22"/>
          <w:u w:val="single"/>
        </w:rPr>
        <w:t>(vi)</w:t>
      </w:r>
      <w:r>
        <w:rPr>
          <w:rFonts w:ascii="Times New Roman" w:hAnsi="Times New Roman"/>
          <w:color w:val="000000"/>
          <w:sz w:val="20"/>
        </w:rPr>
        <w:t xml:space="preserve"> </w:t>
      </w:r>
      <w:r>
        <w:rPr>
          <w:rFonts w:ascii="Times New Roman" w:hAnsi="Times New Roman"/>
          <w:color w:val="000000"/>
          <w:sz w:val="22"/>
        </w:rPr>
        <w:t xml:space="preserve">of the definition of “Available Amount”). For the avoidance of doubt, nothing in this </w:t>
      </w:r>
      <w:r>
        <w:rPr>
          <w:rFonts w:ascii="Times New Roman" w:hAnsi="Times New Roman"/>
          <w:color w:val="000000"/>
          <w:sz w:val="22"/>
          <w:u w:val="single"/>
        </w:rPr>
        <w:t>Section 2.05(b)(viii)</w:t>
      </w:r>
      <w:r>
        <w:rPr>
          <w:rFonts w:ascii="Times New Roman" w:hAnsi="Times New Roman"/>
          <w:color w:val="000000"/>
          <w:sz w:val="20"/>
        </w:rPr>
        <w:t xml:space="preserve"> </w:t>
      </w:r>
      <w:r>
        <w:rPr>
          <w:rFonts w:ascii="Times New Roman" w:hAnsi="Times New Roman"/>
          <w:color w:val="000000"/>
          <w:sz w:val="22"/>
        </w:rPr>
        <w:t>shall require the Borrower to cause any amounts to be repatriated to the United States (whether or not such amounts are used in or excluded from the determination of the amount of mandatory prepayments hereunder).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Interest, Funding Losses, Etc</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All prepayments under this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shall be accompanied by all accrued interest thereon, together with, in the case of any such prepayment of a SOFR Loan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on a date other than the last day of an Interest Period therefor, any amounts owing in respect of such SOFR Loan pursuant to </w:t>
      </w:r>
      <w:r>
        <w:rPr>
          <w:rFonts w:ascii="Times New Roman" w:hAnsi="Times New Roman"/>
          <w:color w:val="000000"/>
          <w:sz w:val="22"/>
          <w:u w:val="single"/>
        </w:rPr>
        <w:t>Section 3.04</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Notwithstanding any of the other provisions of this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but subject to </w:t>
      </w:r>
      <w:r>
        <w:rPr>
          <w:rFonts w:ascii="Times New Roman" w:hAnsi="Times New Roman"/>
          <w:color w:val="000000"/>
          <w:sz w:val="22"/>
          <w:u w:val="single"/>
        </w:rPr>
        <w:t>Section 2.05(c)(i)</w:t>
      </w:r>
      <w:r>
        <w:rPr>
          <w:rFonts w:ascii="Times New Roman" w:hAnsi="Times New Roman"/>
          <w:color w:val="000000"/>
          <w:sz w:val="22"/>
        </w:rPr>
        <w:t xml:space="preserve">, so long as no Event of Default shall have occurred and be continuing, if any prepayment of SOFR Loans is required to be made under this </w:t>
      </w:r>
      <w:r>
        <w:rPr>
          <w:rFonts w:ascii="Times New Roman" w:hAnsi="Times New Roman"/>
          <w:color w:val="000000"/>
          <w:sz w:val="22"/>
          <w:u w:val="single"/>
        </w:rPr>
        <w:t>Section 2.05</w:t>
      </w:r>
      <w:r>
        <w:rPr>
          <w:rFonts w:ascii="Times New Roman" w:hAnsi="Times New Roman"/>
          <w:color w:val="000000"/>
          <w:sz w:val="22"/>
        </w:rPr>
        <w:t xml:space="preserve">, prior to the last day of the Interest Period therefor, in lieu of making any payment pursuant to this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in respect of any such SOFR Loan prior to the last day of the Interest Period therefor, the Borrower may, in their sole discretion, deposit the amount of any such prepayment otherwise required to be made hereunder in a deposit account controlled by the Administrative Agent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hAnsi="Times New Roman"/>
          <w:color w:val="000000"/>
          <w:sz w:val="22"/>
          <w:u w:val="single"/>
        </w:rPr>
        <w:t>Section 2.05</w:t>
      </w:r>
      <w:r>
        <w:rPr>
          <w:rFonts w:ascii="Times New Roman" w:hAnsi="Times New Roman"/>
          <w:color w:val="000000"/>
          <w:sz w:val="22"/>
        </w:rPr>
        <w:t xml:space="preserve">. Such deposit shall constitute cash collateral for the SOFR Loans to be so prepaid,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Borrower may at any time direct that such deposit be applied to make the applicable payment required pursuant to this </w:t>
      </w:r>
      <w:r>
        <w:rPr>
          <w:rFonts w:ascii="Times New Roman" w:hAnsi="Times New Roman"/>
          <w:color w:val="000000"/>
          <w:sz w:val="22"/>
          <w:u w:val="single"/>
        </w:rPr>
        <w:t>Section 2.05</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Discounted Voluntary Prepayments.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Notwithstanding anything to the contrary set forth in this Agreement (including </w:t>
      </w:r>
      <w:r>
        <w:rPr>
          <w:rFonts w:ascii="Times New Roman" w:hAnsi="Times New Roman"/>
          <w:color w:val="000000"/>
          <w:sz w:val="22"/>
          <w:u w:val="single"/>
        </w:rPr>
        <w:t>Section 2.13</w:t>
      </w:r>
      <w:r>
        <w:rPr>
          <w:rFonts w:ascii="Times New Roman" w:hAnsi="Times New Roman"/>
          <w:color w:val="000000"/>
          <w:sz w:val="22"/>
        </w:rPr>
        <w:t>) or any other Loan Document, the Borrower shall have the right at any time and from time to time to prepay one or more Classes of Term Loans to the Lenders at a discount to the par value of such Loans and on a non pro rata basis (each, a “</w:t>
      </w:r>
      <w:r>
        <w:rPr>
          <w:rFonts w:ascii="Times New Roman" w:hAnsi="Times New Roman"/>
          <w:color w:val="000000"/>
          <w:sz w:val="22"/>
          <w:u w:val="single"/>
        </w:rPr>
        <w:t>Discounted Voluntary Prepayment</w:t>
      </w:r>
      <w:r>
        <w:rPr>
          <w:rFonts w:ascii="Times New Roman" w:hAnsi="Times New Roman"/>
          <w:color w:val="000000"/>
          <w:sz w:val="20"/>
        </w:rPr>
        <w:t>”</w:t>
      </w:r>
      <w:r>
        <w:rPr>
          <w:rFonts w:ascii="Times New Roman" w:hAnsi="Times New Roman"/>
          <w:color w:val="000000"/>
          <w:sz w:val="22"/>
        </w:rPr>
        <w:t xml:space="preserve">) pursuant to the procedures described in this </w:t>
      </w:r>
      <w:r>
        <w:rPr>
          <w:rFonts w:ascii="Times New Roman" w:hAnsi="Times New Roman"/>
          <w:color w:val="000000"/>
          <w:sz w:val="22"/>
          <w:u w:val="single"/>
        </w:rPr>
        <w:t>Section 2.05(d)</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no proceeds from Revolving Credit Loans shall be used to consummate any such Discount Voluntary Prepayment, any Discounted Voluntary Prepayment shall be offered to all Lenders of such Class on a pro rata basis, (B) [reserved] and (C) the Borrower shall deliver to the Administrative Agent and the Auction Agent, together with each Discounted Prepayment Option Notice, a certificate of a Responsible Officer of the Borrower (1) stating that no Specified Event of Default (in each case, with respect to the Borrower) has occurred and is continuing or would result from the Discounted Voluntary Prepayment, (2) stating that each of the conditions to such Discounted Voluntary Prepayment contained in this </w:t>
      </w:r>
      <w:r>
        <w:rPr>
          <w:rFonts w:ascii="Times New Roman" w:hAnsi="Times New Roman"/>
          <w:color w:val="000000"/>
          <w:sz w:val="22"/>
          <w:u w:val="single"/>
        </w:rPr>
        <w:t>Section 2.05(d)</w:t>
      </w:r>
      <w:r>
        <w:rPr>
          <w:rFonts w:ascii="Times New Roman" w:hAnsi="Times New Roman"/>
          <w:color w:val="000000"/>
          <w:sz w:val="20"/>
        </w:rPr>
        <w:t xml:space="preserve"> </w:t>
      </w:r>
      <w:r>
        <w:rPr>
          <w:rFonts w:ascii="Times New Roman" w:hAnsi="Times New Roman"/>
          <w:color w:val="000000"/>
          <w:sz w:val="22"/>
        </w:rPr>
        <w:t>has been satisfied and (3) specifying the aggregate principal amount of Term Loans of any Class offered to be prepaid pursuant to such Discounted Voluntary Prepayment.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To the extent the Borrower seeks to make a Discounted Voluntary Prepayment, the Borrower will provide written notice to the Administrative Agent and the Auction Agent substantially in the form of </w:t>
      </w:r>
      <w:r>
        <w:rPr>
          <w:rFonts w:ascii="Times New Roman" w:hAnsi="Times New Roman"/>
          <w:color w:val="000000"/>
          <w:sz w:val="22"/>
          <w:u w:val="single"/>
        </w:rPr>
        <w:t>Exhibit I</w:t>
      </w:r>
      <w:r>
        <w:rPr>
          <w:rFonts w:ascii="Times New Roman" w:hAnsi="Times New Roman"/>
          <w:color w:val="000000"/>
          <w:sz w:val="20"/>
        </w:rPr>
        <w:t xml:space="preserve"> </w:t>
      </w:r>
      <w:r>
        <w:rPr>
          <w:rFonts w:ascii="Times New Roman" w:hAnsi="Times New Roman"/>
          <w:color w:val="000000"/>
          <w:sz w:val="22"/>
        </w:rPr>
        <w:t>hereto (each, a “</w:t>
      </w:r>
      <w:r>
        <w:rPr>
          <w:rFonts w:ascii="Times New Roman" w:hAnsi="Times New Roman"/>
          <w:color w:val="000000"/>
          <w:sz w:val="22"/>
          <w:u w:val="single"/>
        </w:rPr>
        <w:t>Discounted Prepayment Option Notice</w:t>
      </w:r>
      <w:r>
        <w:rPr>
          <w:rFonts w:ascii="Times New Roman" w:hAnsi="Times New Roman"/>
          <w:color w:val="000000"/>
          <w:sz w:val="20"/>
        </w:rPr>
        <w:t>”</w:t>
      </w:r>
      <w:r>
        <w:rPr>
          <w:rFonts w:ascii="Times New Roman" w:hAnsi="Times New Roman"/>
          <w:color w:val="000000"/>
          <w:sz w:val="22"/>
        </w:rPr>
        <w:t>) that the Borrower desires to prepay Term Loans of one or more specified Classes in an aggregate principal amount specified therein by the Borrower (each, a “</w:t>
      </w:r>
      <w:r>
        <w:rPr>
          <w:rFonts w:ascii="Times New Roman" w:hAnsi="Times New Roman"/>
          <w:color w:val="000000"/>
          <w:sz w:val="22"/>
          <w:u w:val="single"/>
        </w:rPr>
        <w:t>Proposed Discounted Prepayment Amount</w:t>
      </w:r>
      <w:r>
        <w:rPr>
          <w:rFonts w:ascii="Times New Roman" w:hAnsi="Times New Roman"/>
          <w:color w:val="000000"/>
          <w:sz w:val="20"/>
        </w:rPr>
        <w:t>”</w:t>
      </w:r>
      <w:r>
        <w:rPr>
          <w:rFonts w:ascii="Times New Roman" w:hAnsi="Times New Roman"/>
          <w:color w:val="000000"/>
          <w:sz w:val="22"/>
        </w:rPr>
        <w:t>), in each case at a discount to the par value of such Loans as specified below. The Proposed Discounted Prepayment Amount of any Loans shall not be less than $10,000,000. The Discounted Prepayment Option Notice shall further specify with respect to the proposed Discounted Voluntary Prepayment (A) the Proposed Discounted Prepayment Amount for Loans to be prepaid, (B) a discount range (which may be a single percentage) selected by the Borrower with respect to such proposed Discounted Voluntary Prepayment equal to a percentage of par of the principal amount of the Loans to be prepaid (the “</w:t>
      </w:r>
      <w:r>
        <w:rPr>
          <w:rFonts w:ascii="Times New Roman" w:hAnsi="Times New Roman"/>
          <w:color w:val="000000"/>
          <w:sz w:val="22"/>
          <w:u w:val="single"/>
        </w:rPr>
        <w:t>Discount Range</w:t>
      </w:r>
      <w:r>
        <w:rPr>
          <w:rFonts w:ascii="Times New Roman" w:hAnsi="Times New Roman"/>
          <w:color w:val="000000"/>
          <w:sz w:val="20"/>
        </w:rPr>
        <w:t>”</w:t>
      </w:r>
      <w:r>
        <w:rPr>
          <w:rFonts w:ascii="Times New Roman" w:hAnsi="Times New Roman"/>
          <w:color w:val="000000"/>
          <w:sz w:val="22"/>
        </w:rPr>
        <w:t>), and (C) the date by which Lenders are required to indicate their election to participate in such proposed Discounted Voluntary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Prepayment, which shall be at least five Business Days from and including the date of the Discounted Prepayment Option Notice (the “</w:t>
      </w:r>
      <w:r>
        <w:rPr>
          <w:rFonts w:ascii="Times New Roman" w:hAnsi="Times New Roman"/>
          <w:color w:val="000000"/>
          <w:sz w:val="22"/>
          <w:u w:val="single"/>
        </w:rPr>
        <w:t>Acceptance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Upon receipt of a Discounted Prepayment Option Notice, the Auction Agent shall promptly notify each applicable Lender thereof. On or prior to the Acceptance Date, each such Lender may specify by written notice substantially in the form of </w:t>
      </w:r>
      <w:r>
        <w:rPr>
          <w:rFonts w:ascii="Times New Roman" w:hAnsi="Times New Roman"/>
          <w:color w:val="000000"/>
          <w:sz w:val="22"/>
          <w:u w:val="single"/>
        </w:rPr>
        <w:t>Exhibit J</w:t>
      </w:r>
      <w:r>
        <w:rPr>
          <w:rFonts w:ascii="Times New Roman" w:hAnsi="Times New Roman"/>
          <w:color w:val="000000"/>
          <w:sz w:val="20"/>
        </w:rPr>
        <w:t xml:space="preserve"> </w:t>
      </w:r>
      <w:r>
        <w:rPr>
          <w:rFonts w:ascii="Times New Roman" w:hAnsi="Times New Roman"/>
          <w:color w:val="000000"/>
          <w:sz w:val="22"/>
        </w:rPr>
        <w:t>hereto (each, a “</w:t>
      </w:r>
      <w:r>
        <w:rPr>
          <w:rFonts w:ascii="Times New Roman" w:hAnsi="Times New Roman"/>
          <w:color w:val="000000"/>
          <w:sz w:val="22"/>
          <w:u w:val="single"/>
        </w:rPr>
        <w:t>Lender Participation Notice</w:t>
      </w:r>
      <w:r>
        <w:rPr>
          <w:rFonts w:ascii="Times New Roman" w:hAnsi="Times New Roman"/>
          <w:color w:val="000000"/>
          <w:sz w:val="20"/>
        </w:rPr>
        <w:t>”</w:t>
      </w:r>
      <w:r>
        <w:rPr>
          <w:rFonts w:ascii="Times New Roman" w:hAnsi="Times New Roman"/>
          <w:color w:val="000000"/>
          <w:sz w:val="22"/>
        </w:rPr>
        <w:t>) to the Auction Agent (A) a maximum discount to par (the “</w:t>
      </w:r>
      <w:r>
        <w:rPr>
          <w:rFonts w:ascii="Times New Roman" w:hAnsi="Times New Roman"/>
          <w:color w:val="000000"/>
          <w:sz w:val="22"/>
          <w:u w:val="single"/>
        </w:rPr>
        <w:t>Acceptable Discount</w:t>
      </w:r>
      <w:r>
        <w:rPr>
          <w:rFonts w:ascii="Times New Roman" w:hAnsi="Times New Roman"/>
          <w:color w:val="000000"/>
          <w:sz w:val="20"/>
        </w:rPr>
        <w:t>”</w:t>
      </w:r>
      <w:r>
        <w:rPr>
          <w:rFonts w:ascii="Times New Roman" w:hAnsi="Times New Roman"/>
          <w:color w:val="000000"/>
          <w:sz w:val="22"/>
        </w:rPr>
        <w:t>) within the Discount Range (for example, a Lender specifying a discount to par of 20% would accept a purchase price of 80% of the par value of the Term Loans to be prepaid) and (B) a maximum principal amount (subject to rounding requirements specified by the Auction Agent) of the Term Loans to be prepaid held by such Lender with respect to which such Lender is willing to permit a Discounted Voluntary Prepayment at the Acceptable Discount (“</w:t>
      </w:r>
      <w:r>
        <w:rPr>
          <w:rFonts w:ascii="Times New Roman" w:hAnsi="Times New Roman"/>
          <w:color w:val="000000"/>
          <w:sz w:val="22"/>
          <w:u w:val="single"/>
        </w:rPr>
        <w:t>Offered Loans</w:t>
      </w:r>
      <w:r>
        <w:rPr>
          <w:rFonts w:ascii="Times New Roman" w:hAnsi="Times New Roman"/>
          <w:color w:val="000000"/>
          <w:sz w:val="20"/>
        </w:rPr>
        <w:t>”</w:t>
      </w:r>
      <w:r>
        <w:rPr>
          <w:rFonts w:ascii="Times New Roman" w:hAnsi="Times New Roman"/>
          <w:color w:val="000000"/>
          <w:sz w:val="22"/>
        </w:rPr>
        <w:t>). Based on the Acceptable Discounts and principal amounts of the Term Loans to be prepaid specified by the Lenders in the applicable Lender Participation Notice, the Auction Agent, in consultation with the Borrower, shall determine the applicable discount for such Term Loans to be prepaid (the “</w:t>
      </w:r>
      <w:r>
        <w:rPr>
          <w:rFonts w:ascii="Times New Roman" w:hAnsi="Times New Roman"/>
          <w:color w:val="000000"/>
          <w:sz w:val="22"/>
          <w:u w:val="single"/>
        </w:rPr>
        <w:t>Applicable Discount</w:t>
      </w:r>
      <w:r>
        <w:rPr>
          <w:rFonts w:ascii="Times New Roman" w:hAnsi="Times New Roman"/>
          <w:color w:val="000000"/>
          <w:sz w:val="20"/>
        </w:rPr>
        <w:t>”</w:t>
      </w:r>
      <w:r>
        <w:rPr>
          <w:rFonts w:ascii="Times New Roman" w:hAnsi="Times New Roman"/>
          <w:color w:val="000000"/>
          <w:sz w:val="22"/>
        </w:rPr>
        <w:t xml:space="preserve">), which Applicable Discount shall be (A) the percentage specified by the Borrower if the Borrower have selected a single percentage pursuant to </w:t>
      </w:r>
      <w:r>
        <w:rPr>
          <w:rFonts w:ascii="Times New Roman" w:hAnsi="Times New Roman"/>
          <w:color w:val="000000"/>
          <w:sz w:val="22"/>
          <w:u w:val="single"/>
        </w:rPr>
        <w:t>Section 2.05(d)(ii)</w:t>
      </w:r>
      <w:r>
        <w:rPr>
          <w:rFonts w:ascii="Times New Roman" w:hAnsi="Times New Roman"/>
          <w:color w:val="000000"/>
          <w:sz w:val="20"/>
        </w:rPr>
        <w:t xml:space="preserve"> </w:t>
      </w:r>
      <w:r>
        <w:rPr>
          <w:rFonts w:ascii="Times New Roman" w:hAnsi="Times New Roman"/>
          <w:color w:val="000000"/>
          <w:sz w:val="22"/>
        </w:rPr>
        <w:t xml:space="preserve">for the Discounted Voluntary Prepayment or (B) otherwise, the highest Acceptable Discount at which the Borrower can pay the Proposed Discounted Prepayment Amount in full (determined by adding the Outstanding Amount of Offered Loans commencing with the Offered Loans with the highest Acceptable Discount);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event that such Proposed Discounted Prepayment Amount cannot be repaid in full at any Acceptable Discount, the Applicable Discount shall be the lowest Acceptable Discount specified by the Lenders that is within the Discount Range. The Applicable Discount shall be applicable for all Lenders who have offered to participate in the Discounted Voluntary Prepayment and have Qualifying Loans. Any Lender with outstanding Term Loans to be prepaid whose Lender Participation Notice is not received by the Auction Agent by the Acceptance Date shall be deemed to have declined to accept a Discounted Voluntary Prepayment of any of its Loans at any discount to their par value within the Applicable Discount.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(iv) The Borrower shall make a Discounted Voluntary Prepayment by prepaying those Term Loans to be prepaid (or the respective portions thereof) offered by the Lenders (“</w:t>
      </w:r>
      <w:r>
        <w:rPr>
          <w:rFonts w:ascii="Times New Roman" w:hAnsi="Times New Roman"/>
          <w:color w:val="000000"/>
          <w:sz w:val="22"/>
          <w:u w:val="single"/>
        </w:rPr>
        <w:t>Qualifying Lenders</w:t>
      </w:r>
      <w:r>
        <w:rPr>
          <w:rFonts w:ascii="Times New Roman" w:hAnsi="Times New Roman"/>
          <w:color w:val="000000"/>
          <w:sz w:val="20"/>
        </w:rPr>
        <w:t>”</w:t>
      </w:r>
      <w:r>
        <w:rPr>
          <w:rFonts w:ascii="Times New Roman" w:hAnsi="Times New Roman"/>
          <w:color w:val="000000"/>
          <w:sz w:val="22"/>
        </w:rPr>
        <w:t>) that specify an Acceptable Discount that is equal to or greater than the Applicable Discount (“</w:t>
      </w:r>
      <w:r>
        <w:rPr>
          <w:rFonts w:ascii="Times New Roman" w:hAnsi="Times New Roman"/>
          <w:color w:val="000000"/>
          <w:sz w:val="22"/>
          <w:u w:val="single"/>
        </w:rPr>
        <w:t>Qualifying Loans</w:t>
      </w:r>
      <w:r>
        <w:rPr>
          <w:rFonts w:ascii="Times New Roman" w:hAnsi="Times New Roman"/>
          <w:color w:val="000000"/>
          <w:sz w:val="20"/>
        </w:rPr>
        <w:t>”</w:t>
      </w:r>
      <w:r>
        <w:rPr>
          <w:rFonts w:ascii="Times New Roman" w:hAnsi="Times New Roman"/>
          <w:color w:val="000000"/>
          <w:sz w:val="22"/>
        </w:rPr>
        <w:t xml:space="preserve">) at the Applicable Discount,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aggregate proceeds required to prepay all Qualifying Loans (disregarding any interest payable at such time) would exceed the amount of aggregate proceeds required to prepay the Proposed Discounted Prepayment Amount, such amounts in each case calculated by applying the Applicable Discount, the Borrower shall prepay such Qualifying Loans ratably among the Qualifying Lenders based on their respective principal amounts of such Qualifying Loans (subject to rounding requirements specified by the Auction Agent). If the aggregate proceeds required to prepay all Qualifying Loans (disregarding any interest payable at such time) would be less than the amount of aggregate proceeds required to prepay the Proposed Discounted Prepayment Amount, such amounts in each case calculated by applying the Applicable Discount, the Borrower shall prepay all Qualifying Loans.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(v) Each Discounted Voluntary Prepayment shall be made within five (5) Business Days of the Acceptance Date (or such later date as the Auction Agent shall reasonably agree, given the time required to calculate the Applicable Discount and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determine the amount and holders of Qualifying Loans), without premium or penalty (but subject to </w:t>
      </w:r>
      <w:r>
        <w:rPr>
          <w:rFonts w:ascii="Times New Roman" w:hAnsi="Times New Roman"/>
          <w:color w:val="000000"/>
          <w:sz w:val="22"/>
          <w:u w:val="single"/>
        </w:rPr>
        <w:t>Section 3.04</w:t>
      </w:r>
      <w:r>
        <w:rPr>
          <w:rFonts w:ascii="Times New Roman" w:hAnsi="Times New Roman"/>
          <w:color w:val="000000"/>
          <w:sz w:val="22"/>
        </w:rPr>
        <w:t xml:space="preserve">), upon irrevocable notice substantially in the form of </w:t>
      </w:r>
      <w:r>
        <w:rPr>
          <w:rFonts w:ascii="Times New Roman" w:hAnsi="Times New Roman"/>
          <w:color w:val="000000"/>
          <w:sz w:val="22"/>
          <w:u w:val="single"/>
        </w:rPr>
        <w:t>Exhibit K</w:t>
      </w:r>
      <w:r>
        <w:rPr>
          <w:rFonts w:ascii="Times New Roman" w:hAnsi="Times New Roman"/>
          <w:color w:val="000000"/>
          <w:sz w:val="20"/>
        </w:rPr>
        <w:t xml:space="preserve"> </w:t>
      </w:r>
      <w:r>
        <w:rPr>
          <w:rFonts w:ascii="Times New Roman" w:hAnsi="Times New Roman"/>
          <w:color w:val="000000"/>
          <w:sz w:val="22"/>
        </w:rPr>
        <w:t>hereto (each a “</w:t>
      </w:r>
      <w:r>
        <w:rPr>
          <w:rFonts w:ascii="Times New Roman" w:hAnsi="Times New Roman"/>
          <w:color w:val="000000"/>
          <w:sz w:val="22"/>
          <w:u w:val="single"/>
        </w:rPr>
        <w:t>Discounted Voluntary Prepayment Notice</w:t>
      </w:r>
      <w:r>
        <w:rPr>
          <w:rFonts w:ascii="Times New Roman" w:hAnsi="Times New Roman"/>
          <w:color w:val="000000"/>
          <w:sz w:val="20"/>
        </w:rPr>
        <w:t>”</w:t>
      </w:r>
      <w:r>
        <w:rPr>
          <w:rFonts w:ascii="Times New Roman" w:hAnsi="Times New Roman"/>
          <w:color w:val="000000"/>
          <w:sz w:val="22"/>
        </w:rPr>
        <w:t>), delivered to the Auction Agent no later than 1:00 p.m., three (3) Business Days prior to the date of such Discounted Voluntary Prepayment, which notice shall specify the date and amount of the Discounted Voluntary Prepayment and the Applicable Discount determined by the Auction Agent. Upon receipt of any Discounted Voluntary Prepayment Notice, the Auction Agent shall promptly notify each relevant Lender thereof. If any Discounted Voluntary Prepayment Notice is given, the amount specified in such notice shall be due and payable to the applicable Lenders, subject to the Applicable Discount on the applicable Loans, on the date specified therein together with accrued interest (on the par principal amount) to but not including such date on the amount prepaid. The par principal amount of each Discounted Voluntary Prepayment of a Term Loan shall be applied ratably to reduce the remaining installments of such Class of Term Loans (as applicable).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 To the extent not expressly provided for herein, each Discounted Voluntary Prepayment shall be consummated pursuant to procedures (including as to timing, rounding, minimum amounts, Type and Interest Periods and calculation of Applicable Discount in accordance with </w:t>
      </w:r>
      <w:r>
        <w:rPr>
          <w:rFonts w:ascii="Times New Roman" w:hAnsi="Times New Roman"/>
          <w:color w:val="000000"/>
          <w:sz w:val="22"/>
          <w:u w:val="single"/>
        </w:rPr>
        <w:t>Section 2.05(d)(ii)</w:t>
      </w:r>
      <w:r>
        <w:rPr>
          <w:rFonts w:ascii="Times New Roman" w:hAnsi="Times New Roman"/>
          <w:color w:val="000000"/>
          <w:sz w:val="20"/>
        </w:rPr>
        <w:t xml:space="preserve"> </w:t>
      </w:r>
      <w:r>
        <w:rPr>
          <w:rFonts w:ascii="Times New Roman" w:hAnsi="Times New Roman"/>
          <w:color w:val="000000"/>
          <w:sz w:val="22"/>
        </w:rPr>
        <w:t>above) established by the Auction Agent and the Borrower, each acting reasonably.</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(vii) Prior to the delivery of a Discounted Voluntary Prepayment Notice, (A) upon written notice to the Administrative Agent and the Auction Agent, the Borrower may withdraw or modify their offer to make a Discounted Voluntary Prepayment pursuant to any Discounted Prepayment Option Notice and (B) no Lender may withdraw its offer to participate in a Discounted Voluntary Prepayment pursuant to any Lender Participation Notice unless the terms of such proposed Discounted Voluntary Prepayment have been modified by the Borrower after the date of such Lender Participation Notice.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(viii) Nothing in this </w:t>
      </w:r>
      <w:r>
        <w:rPr>
          <w:rFonts w:ascii="Times New Roman" w:hAnsi="Times New Roman"/>
          <w:color w:val="000000"/>
          <w:sz w:val="22"/>
          <w:u w:val="single"/>
        </w:rPr>
        <w:t>Section 2.05(d)</w:t>
      </w:r>
      <w:r>
        <w:rPr>
          <w:rFonts w:ascii="Times New Roman" w:hAnsi="Times New Roman"/>
          <w:color w:val="000000"/>
          <w:sz w:val="20"/>
        </w:rPr>
        <w:t xml:space="preserve"> </w:t>
      </w:r>
      <w:r>
        <w:rPr>
          <w:rFonts w:ascii="Times New Roman" w:hAnsi="Times New Roman"/>
          <w:color w:val="000000"/>
          <w:sz w:val="22"/>
        </w:rPr>
        <w:t>shall require the Borrower to undertake any Discounted Voluntary Prepayment.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2.06 </w:t>
      </w:r>
      <w:r>
        <w:rPr>
          <w:rFonts w:ascii="Times New Roman" w:hAnsi="Times New Roman"/>
          <w:b w:val="false"/>
          <w:color w:val="000000"/>
          <w:sz w:val="22"/>
          <w:u w:val="single"/>
        </w:rPr>
        <w:t>Termination or Reduction of Commitments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Optional</w:t>
      </w:r>
      <w:r>
        <w:rPr>
          <w:rFonts w:ascii="Times New Roman" w:hAnsi="Times New Roman"/>
          <w:color w:val="000000"/>
          <w:sz w:val="22"/>
        </w:rPr>
        <w:t xml:space="preserve">. The Borrower may, upon at least three (3) Business Days prior written notice to the Administrative Agent, terminate the unused Commitments of any Class, or from time to time permanently reduce the unused Commitments of any Class;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any such notice shall be received by the Administrative Agent three (3) Business Days prior to the date of termination or reduction, (ii) any such partial reduction shall be in an aggregate amount of $1,000,000 or any whole multiple of $100,000 in excess thereof, (iii) the Borrower shall not terminate or reduce the Revolving Credit Commitments of any Class if, after giving effect thereto and to any concurrent prepayments hereunder, the Total Revolver Outstandings of such Class would exceed the aggregate Revolving Credit Commitments of such Class and (iv) if, after giving effect to any reduction of the Commitments, the Letter of Credit Sublimit or the Swing Line Sublimit exceeds the amount of the Revolving Credit Facility, such sublimit shall be automatically reduced by the amount of such excess. The amount of any such Commitment reduction shall not be applied to the Letter of Credit Sublimit or the Swing Line Sublimit unless otherwise specified by the Borrower. Notwithstanding the foregoing, the Borrower may rescind or postpone any notice of termination of the Commitments if such termination would have resulted from a refinancing of all of the Facilities, which refinancing shall not be consummated or otherwise shall be delayed.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Mandatory</w:t>
      </w:r>
      <w:r>
        <w:rPr>
          <w:rFonts w:ascii="Times New Roman" w:hAnsi="Times New Roman"/>
          <w:color w:val="000000"/>
          <w:sz w:val="22"/>
        </w:rPr>
        <w:t xml:space="preserve">. The Initial Term Commitment of each Initial Term Lender shall be automatically and permanently reduced to $0 upon the making of such Initial Term Lender’s Initial Term Loans pursuant to </w:t>
      </w:r>
      <w:r>
        <w:rPr>
          <w:rFonts w:ascii="Times New Roman" w:hAnsi="Times New Roman"/>
          <w:color w:val="000000"/>
          <w:sz w:val="22"/>
          <w:u w:val="single"/>
        </w:rPr>
        <w:t>Section 2.01(a)</w:t>
      </w:r>
      <w:r>
        <w:rPr>
          <w:rFonts w:ascii="Times New Roman" w:hAnsi="Times New Roman"/>
          <w:color w:val="000000"/>
          <w:sz w:val="20"/>
        </w:rPr>
        <w:t xml:space="preserve"> </w:t>
      </w:r>
      <w:r>
        <w:rPr>
          <w:rFonts w:ascii="Times New Roman" w:hAnsi="Times New Roman"/>
          <w:color w:val="000000"/>
          <w:sz w:val="22"/>
        </w:rPr>
        <w:t>on the Closing Date. The Revolving Credit Commitments (other than any Extended Revolving Credit Commitments) shall terminate on the applicable Maturity Date. The Extended Revolving Credit Commitments shall terminate on the respective maturity dates applicable thereto.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Application of Commitment Reductions; Payment of Fees</w:t>
      </w:r>
      <w:r>
        <w:rPr>
          <w:rFonts w:ascii="Times New Roman" w:hAnsi="Times New Roman"/>
          <w:color w:val="000000"/>
          <w:sz w:val="22"/>
        </w:rPr>
        <w:t xml:space="preserve">. The Administrative Agent will promptly notify the Lenders of any termination or reduction of unused Commitments of any Class under this </w:t>
      </w:r>
      <w:r>
        <w:rPr>
          <w:rFonts w:ascii="Times New Roman" w:hAnsi="Times New Roman"/>
          <w:color w:val="000000"/>
          <w:sz w:val="22"/>
          <w:u w:val="single"/>
        </w:rPr>
        <w:t>Section 2.06</w:t>
      </w:r>
      <w:r>
        <w:rPr>
          <w:rFonts w:ascii="Times New Roman" w:hAnsi="Times New Roman"/>
          <w:color w:val="000000"/>
          <w:sz w:val="22"/>
        </w:rPr>
        <w:t xml:space="preserve">. Upon any reduction of unused portions of the Letter of Credit Sublimit, the Swing Line Sublimit or the unused Commitments of any Class, the Commitment of each Lender of such Class shall be reduced by such Lender’s Applicable Percentage of the amount by which such Commitments are reduced (other than the termination of the Commitment of any Lender as provided in </w:t>
      </w:r>
      <w:r>
        <w:rPr>
          <w:rFonts w:ascii="Times New Roman" w:hAnsi="Times New Roman"/>
          <w:color w:val="000000"/>
          <w:sz w:val="22"/>
          <w:u w:val="single"/>
        </w:rPr>
        <w:t>Section 3.06</w:t>
      </w:r>
      <w:r>
        <w:rPr>
          <w:rFonts w:ascii="Times New Roman" w:hAnsi="Times New Roman"/>
          <w:color w:val="000000"/>
          <w:sz w:val="22"/>
        </w:rPr>
        <w:t>). All Commitment Fees accrued until the effective date of any termination of the Revolving Credit Commitments shall be paid on the effective date of such termination.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2.07 </w:t>
      </w:r>
      <w:r>
        <w:rPr>
          <w:rFonts w:ascii="Times New Roman" w:hAnsi="Times New Roman"/>
          <w:b w:val="false"/>
          <w:color w:val="000000"/>
          <w:sz w:val="22"/>
          <w:u w:val="single"/>
        </w:rPr>
        <w:t>Repayment of Loans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Term Loans</w:t>
      </w:r>
      <w:r>
        <w:rPr>
          <w:rFonts w:ascii="Times New Roman" w:hAnsi="Times New Roman"/>
          <w:color w:val="000000"/>
          <w:sz w:val="22"/>
        </w:rPr>
        <w:t>. In the event any Incremental Term Loans or Extended Term Loans are made, such Incremental Term Loans or Extended Term Loans, as applicable, shall be repaid by the Borrower in the amounts and on the dates set forth in the definitive documentation with respect thereto and on the applicable Maturity Date thereof.</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Revolving Credit Loans</w:t>
      </w:r>
      <w:r>
        <w:rPr>
          <w:rFonts w:ascii="Times New Roman" w:hAnsi="Times New Roman"/>
          <w:color w:val="000000"/>
          <w:sz w:val="22"/>
        </w:rPr>
        <w:t>. The Borrower shall repay to the Administrative Agent for the ratable account of the Appropriate Lenders on the Maturity Date for the Revolving Credit Facility the aggregate principal amount of all of its Revolving Credit Loans outstanding on such date.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Swing Line Loans</w:t>
      </w:r>
      <w:r>
        <w:rPr>
          <w:rFonts w:ascii="Times New Roman" w:hAnsi="Times New Roman"/>
          <w:color w:val="000000"/>
          <w:sz w:val="22"/>
        </w:rPr>
        <w:t>. The Borrower shall repay their Swing Line Loans on the earlier to occur of (i) the date seven (7) days after such Loan is made and (ii) the Maturity Date for the Revolving Credit Facility.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2.08 </w:t>
      </w:r>
      <w:r>
        <w:rPr>
          <w:rFonts w:ascii="Times New Roman" w:hAnsi="Times New Roman"/>
          <w:b w:val="false"/>
          <w:color w:val="000000"/>
          <w:sz w:val="22"/>
          <w:u w:val="single"/>
        </w:rPr>
        <w:t>Interest</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Subject to the provisions of </w:t>
      </w:r>
      <w:r>
        <w:rPr>
          <w:rFonts w:ascii="Times New Roman" w:hAnsi="Times New Roman"/>
          <w:color w:val="000000"/>
          <w:sz w:val="22"/>
          <w:u w:val="single"/>
        </w:rPr>
        <w:t>Section 2.08(b)</w:t>
      </w:r>
      <w:r>
        <w:rPr>
          <w:rFonts w:ascii="Times New Roman" w:hAnsi="Times New Roman"/>
          <w:color w:val="000000"/>
          <w:sz w:val="22"/>
        </w:rPr>
        <w:t>, (i) each SOFR Loan shall bear interest on the outstanding principal amount thereof for each Interest Period at a rate per annum equal to the Adjusted Term SOFR Rate for such Interest Period plus the Applicable Rate; (ii) each Base Rate Loan shall bear interest on the outstanding principal amount thereof from the borrowing date at a rate per annum equal to the Base Rate plus the Applicable Rate; and (iii) each Swing Line Loan shall bear interest on the outstanding principal amount thereof from the applicable borrowing date at a rate per annum equal to the Base Rate plus the Applicable Rate for Revolving Credit Loans that are Base Rate Loans.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The Borrower shall pay interest on past due amounts under this Agreement at a fluctuating interest rate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at all times equal to the Default Rate to the fullest extent permitted by applicable Laws. Accrued and unpaid interest on past due amounts (including interest on past due interest) shall be due and payable (i) automatically in the case of a Specified Event of Default and (ii) otherwise, upon demand.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The Administrative Agent shall provide the Borrower with invoices of the amount of interest due hereunder via an online portal.</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2.09 </w:t>
      </w:r>
      <w:r>
        <w:rPr>
          <w:rFonts w:ascii="Times New Roman" w:hAnsi="Times New Roman"/>
          <w:b w:val="false"/>
          <w:color w:val="000000"/>
          <w:sz w:val="22"/>
          <w:u w:val="single"/>
        </w:rPr>
        <w:t>Fees</w:t>
      </w:r>
      <w:r>
        <w:rPr>
          <w:rFonts w:ascii="Times New Roman" w:hAnsi="Times New Roman"/>
          <w:b w:val="false"/>
          <w:color w:val="000000"/>
          <w:sz w:val="22"/>
        </w:rPr>
        <w:t xml:space="preserve">. In addition to certain fees described in </w:t>
      </w:r>
      <w:r>
        <w:rPr>
          <w:rFonts w:ascii="Times New Roman" w:hAnsi="Times New Roman"/>
          <w:b w:val="false"/>
          <w:color w:val="000000"/>
          <w:sz w:val="22"/>
          <w:u w:val="single"/>
        </w:rPr>
        <w:t>Sections 2.03(g)</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(h)</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Credit Facility Commitment Fee</w:t>
      </w:r>
      <w:r>
        <w:rPr>
          <w:rFonts w:ascii="Times New Roman" w:hAnsi="Times New Roman"/>
          <w:color w:val="000000"/>
          <w:sz w:val="22"/>
        </w:rPr>
        <w:t>. The Borrower shall pay to the Administrative Agent for the account of each Revolving Credit Lender in accordance with its Applicable Percentage, a commitment fee (the “</w:t>
      </w:r>
      <w:r>
        <w:rPr>
          <w:rFonts w:ascii="Times New Roman" w:hAnsi="Times New Roman"/>
          <w:color w:val="000000"/>
          <w:sz w:val="22"/>
          <w:u w:val="single"/>
        </w:rPr>
        <w:t>Commitment Fee</w:t>
      </w:r>
      <w:r>
        <w:rPr>
          <w:rFonts w:ascii="Times New Roman" w:hAnsi="Times New Roman"/>
          <w:color w:val="000000"/>
          <w:sz w:val="20"/>
        </w:rPr>
        <w:t>”</w:t>
      </w:r>
      <w:r>
        <w:rPr>
          <w:rFonts w:ascii="Times New Roman" w:hAnsi="Times New Roman"/>
          <w:color w:val="000000"/>
          <w:sz w:val="22"/>
        </w:rPr>
        <w:t xml:space="preserve">) equal to 0.20%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 xml:space="preserve">on the average daily amount by which the aggregate Revolving Credit Commitments exceeds the sum of (A) the Outstanding Amount of Revolving Credit Loans and (B) the Outstanding Amount of L/C Obligations (disregarding for the purposes of such calculation, the Outstanding Amount of any Swing Line Loans). The Commitment Fee shall accrue at all times from the Closing Date until the Maturity Date for the Revolving Credit Facility, including at any time during which one or more of the conditions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is not met, and shall be due and payable quarterly in arrears on the first day of each calendar quarter, commencing with the first such date to occur after the Closing Date, and on the Maturity Date for the Revolving Credit Facility.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Other Fees</w:t>
      </w:r>
      <w:r>
        <w:rPr>
          <w:rFonts w:ascii="Times New Roman" w:hAnsi="Times New Roman"/>
          <w:color w:val="000000"/>
          <w:sz w:val="22"/>
        </w:rPr>
        <w:t>. The Borrower shall pay to the Agents such fees as shall have been separately agreed upon in writing in the Fee Letter, in the amounts and at the times so specified. Such fees shall be fully earned when paid and shall not be refundable for any reason whatsoever (except as expressly agreed between the Borrower and the applicable Agent).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2.10 </w:t>
      </w:r>
      <w:r>
        <w:rPr>
          <w:rFonts w:ascii="Times New Roman" w:hAnsi="Times New Roman"/>
          <w:b w:val="false"/>
          <w:color w:val="000000"/>
          <w:sz w:val="22"/>
          <w:u w:val="single"/>
        </w:rPr>
        <w:t>Computation of Interest and Fees</w:t>
      </w:r>
      <w:r>
        <w:rPr>
          <w:rFonts w:ascii="Times New Roman" w:hAnsi="Times New Roman"/>
          <w:b w:val="false"/>
          <w:color w:val="000000"/>
          <w:sz w:val="22"/>
        </w:rPr>
        <w:t xml:space="preserve">. All computations of interest for Base Rate Loans shall be made on the basis of a year of three hundred sixty five (365) days or three hundred sixty six (366) days, as the case may be, and actual days elapsed. All other computations of fees and interest shall be made on the basis of a three hundred sixty (360) day year and actual days elapsed. Interest and fees shall accrue on each Loan for the day on which such Loan is made, and shall not accrue on such Loan, or any portion thereof, for the day on which such Loan or such portion is paid;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any such Loan that is repaid on the same day on which it is made shall, subject to </w:t>
      </w:r>
      <w:r>
        <w:rPr>
          <w:rFonts w:ascii="Times New Roman" w:hAnsi="Times New Roman"/>
          <w:b w:val="false"/>
          <w:color w:val="000000"/>
          <w:sz w:val="22"/>
          <w:u w:val="single"/>
        </w:rPr>
        <w:t>Section 2.12(a)</w:t>
      </w:r>
      <w:r>
        <w:rPr>
          <w:rFonts w:ascii="Times New Roman" w:hAnsi="Times New Roman"/>
          <w:b w:val="false"/>
          <w:color w:val="000000"/>
          <w:sz w:val="22"/>
        </w:rPr>
        <w:t>, bear interest for one (1) day. Each determination by the Administrative Agent of an interest rate or fee hereunder shall be conclusive and binding for all purposes, absent manifest error.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2.11 </w:t>
      </w:r>
      <w:r>
        <w:rPr>
          <w:rFonts w:ascii="Times New Roman" w:hAnsi="Times New Roman"/>
          <w:b w:val="false"/>
          <w:color w:val="000000"/>
          <w:sz w:val="22"/>
          <w:u w:val="single"/>
        </w:rPr>
        <w:t>Evidence of Indebtedness</w:t>
      </w:r>
      <w:r>
        <w:rPr>
          <w:rFonts w:ascii="Times New Roman" w:hAnsi="Times New Roman"/>
          <w:b w:val="false"/>
          <w:color w:val="000000"/>
          <w:sz w:val="22"/>
        </w:rPr>
        <w:t>. The Credit Extensions made by each Lender shall be evidenced by one or more accounts or records maintained by such Lender and by one or more entries in the Register.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be conclusive in the absence of demonstrable error. Upon the request of any Lender, each Borrower shall execute and deliver to such Lender a Term Note or Revolving Credit Note payable to such Lender or its registered assigns, which shall evidence such Lender’s Loans in addition to such accounts or records. Each Lender may, but shall not be required to, attach schedules to its Term Note or Revolving Credit Note and endorse thereon the date, Type (if applicable), amount and maturity of its Loans and payments with respect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2.12 </w:t>
      </w:r>
      <w:r>
        <w:rPr>
          <w:rFonts w:ascii="Times New Roman" w:hAnsi="Times New Roman"/>
          <w:b w:val="false"/>
          <w:color w:val="000000"/>
          <w:sz w:val="22"/>
          <w:u w:val="single"/>
        </w:rPr>
        <w:t>Payments Generally</w:t>
      </w:r>
      <w:r>
        <w:rPr>
          <w:rFonts w:ascii="Times New Roman" w:hAnsi="Times New Roman"/>
          <w:b w:val="false"/>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All payments to be made by the Borrower shall be made without condition or deduction for any counterclaim, defense, recoupment or setoff except as provided in this </w:t>
      </w:r>
      <w:r>
        <w:rPr>
          <w:rFonts w:ascii="Times New Roman" w:hAnsi="Times New Roman"/>
          <w:color w:val="000000"/>
          <w:sz w:val="22"/>
          <w:u w:val="single"/>
        </w:rPr>
        <w:t>Section 3.01</w:t>
      </w:r>
      <w:r>
        <w:rPr>
          <w:rFonts w:ascii="Times New Roman" w:hAnsi="Times New Roman"/>
          <w:color w:val="000000"/>
          <w:sz w:val="22"/>
        </w:rPr>
        <w:t>. Except as otherwise expressly provided herein and all payments by the Borrower hereunder shall be made to the Administrative Agent, for the account of the respective Lenders to which such payment is owed, at the applicable Administrative Agent’s Office in Dollars and in Same Day Funds not later than 1:30 p.m. on the date specified herein. Without limiting the generality of the foregoing, the Administrative Agent may require that any payments due under this Agreement be made in the United States. The Administrative Agent will promptly distribute to each Lender its Applicable Percentage (or other applicable share as provided herein) of such payment in like funds as received by wire transfer to such Lender’s Applicable Lending Office. All payments received by the Administrative Agent after 1:30 p.m. may, in the Administrative Agent’s discretion, be deemed received on the next succeeding Business Day and any applicable interest or fee shall continue to accrue.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If any payment to be made by the Borrower shall come due on a day other than a Business Day, payment shall be made on the next following Business Day, and such extension of time shall be reflected in computing interest or fees, as the case may be;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such extension would cause payment of interest on or principal of SOFR Loans to be made in the next succeeding calendar month, such payment shall be made on the immediately preceding Business Day.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Lenders,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if the Borrower failed to make such payment, then the applicable Lender agrees to pay to the Administrative Agent forthwith on demand the portion of such assumed payment that was made available to such Lender in immediately available funds, together with interest thereon in respect of each day from and including the date such amount was made available by the Administrative Agent to such Lender to the date such amount is repaid to the Administrative Agent in immediately available funds at the greater of the Federal Funds Rate and a rate determined by the Administrative Agent in accordance with banking industry rules on interbank compensation, it being understood that nothing herein shall be deemed to relieve any Lender from its obligation to fulfill its Commitment or to prejudice any rights which the Administrative Agent or the Borrower may have against any Lender as a result of any default by such Lender hereunder;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(ii) 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Times New Roman" w:hAnsi="Times New Roman"/>
          <w:color w:val="000000"/>
          <w:sz w:val="22"/>
          <w:u w:val="single"/>
        </w:rPr>
        <w:t>Compensation Period</w:t>
      </w:r>
      <w:r>
        <w:rPr>
          <w:rFonts w:ascii="Times New Roman" w:hAnsi="Times New Roman"/>
          <w:color w:val="000000"/>
          <w:sz w:val="20"/>
        </w:rPr>
        <w:t>”</w:t>
      </w:r>
      <w:r>
        <w:rPr>
          <w:rFonts w:ascii="Times New Roman" w:hAnsi="Times New Roman"/>
          <w:color w:val="000000"/>
          <w:sz w:val="22"/>
        </w:rPr>
        <w:t>) at the greater of the Federal Funds Rate and a rate determined by the Administrative Agent in accordance with banking industry rules on interbank compensation. When such Lender makes payment to the Administrative Agent (together with all accrued interest thereon), then such payment amount (excluding the amount of any interest which may have accrued and been paid in respect of such late payment) shall constitute such Lender’s Loan included in the applicable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the interest rate applicable to such Loan. Nothing herein shall be deemed to relieve any Lender from its obligation to fulfill its Commitment or to prejudice any rights which the Administrative Agent or the Borrower may have against any Lender as a result of any default by such Lender hereunder.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A notice of the Administrative Agent to any Lender or the Borrower with respect to any amount owing under this </w:t>
      </w:r>
      <w:r>
        <w:rPr>
          <w:rFonts w:ascii="Times New Roman" w:hAnsi="Times New Roman"/>
          <w:color w:val="000000"/>
          <w:sz w:val="22"/>
          <w:u w:val="single"/>
        </w:rPr>
        <w:t>Section 2.12(c)</w:t>
      </w:r>
      <w:r>
        <w:rPr>
          <w:rFonts w:ascii="Times New Roman" w:hAnsi="Times New Roman"/>
          <w:color w:val="000000"/>
          <w:sz w:val="20"/>
        </w:rPr>
        <w:t xml:space="preserve"> </w:t>
      </w:r>
      <w:r>
        <w:rPr>
          <w:rFonts w:ascii="Times New Roman" w:hAnsi="Times New Roman"/>
          <w:color w:val="000000"/>
          <w:sz w:val="22"/>
        </w:rPr>
        <w:t>shall be conclusive, absent demonstrable error.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If any Lender makes available to the Administrative Agent funds for any Loan to be made by such Lender as provided in the foregoing provisions of this </w:t>
      </w:r>
      <w:r>
        <w:rPr>
          <w:rFonts w:ascii="Times New Roman" w:hAnsi="Times New Roman"/>
          <w:color w:val="000000"/>
          <w:sz w:val="22"/>
          <w:u w:val="single"/>
        </w:rPr>
        <w:t>Article II</w:t>
      </w:r>
      <w:r>
        <w:rPr>
          <w:rFonts w:ascii="Times New Roman" w:hAnsi="Times New Roman"/>
          <w:color w:val="000000"/>
          <w:sz w:val="22"/>
        </w:rPr>
        <w:t xml:space="preserve">, and such funds are not made available to the Borrower by the Administrative Agent because the conditions to the applicable Credit Extension set forth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The obligations of the Lenders hereunder to make Loans and to fund participations in Letters of Credit and Swing Line Loans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hAnsi="Times New Roman"/>
          <w:color w:val="000000"/>
          <w:sz w:val="22"/>
          <w:u w:val="single"/>
        </w:rPr>
        <w:t>Section 8.04</w:t>
      </w:r>
      <w:r>
        <w:rPr>
          <w:rFonts w:ascii="Times New Roman" w:hAnsi="Times New Roman"/>
          <w:color w:val="000000"/>
          <w:sz w:val="22"/>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Applicable Percentage of the sum of (a) the Outstanding Amount of all Loans outstanding at such time and (b) the Outstanding Amount of all L/C Obligations outstanding at such time, in repayment or prepayment of such of the outstanding Loans or other Obligations then owing to such Lender.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2.13 </w:t>
      </w:r>
      <w:r>
        <w:rPr>
          <w:rFonts w:ascii="Times New Roman" w:hAnsi="Times New Roman"/>
          <w:b w:val="false"/>
          <w:color w:val="000000"/>
          <w:sz w:val="22"/>
          <w:u w:val="single"/>
        </w:rPr>
        <w:t>Sharing of Payments</w:t>
      </w:r>
      <w:r>
        <w:rPr>
          <w:rFonts w:ascii="Times New Roman" w:hAnsi="Times New Roman"/>
          <w:b w:val="false"/>
          <w:color w:val="000000"/>
          <w:sz w:val="22"/>
        </w:rPr>
        <w:t xml:space="preserve">. If, other than as expressly provided elsewhere herein, any Lender shall obtain on account of the Loans made by it, or the participations in L/C Obligations and Swing Line Loans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 if all or any portion of</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such excess payment is thereafter recovered from the purchasing Lender under any of the circumstances described in </w:t>
      </w:r>
      <w:r>
        <w:rPr>
          <w:rFonts w:ascii="Times New Roman" w:hAnsi="Times New Roman"/>
          <w:b w:val="false"/>
          <w:color w:val="000000"/>
          <w:sz w:val="22"/>
          <w:u w:val="single"/>
        </w:rPr>
        <w:t>Section 10.06</w:t>
      </w:r>
      <w:r>
        <w:rPr>
          <w:rFonts w:ascii="Times New Roman" w:hAnsi="Times New Roman"/>
          <w:color w:val="000000"/>
          <w:sz w:val="20"/>
        </w:rPr>
        <w:t xml:space="preserve"> </w:t>
      </w:r>
      <w:r>
        <w:rPr>
          <w:rFonts w:ascii="Times New Roman" w:hAnsi="Times New Roman"/>
          <w:b w:val="false"/>
          <w:color w:val="000000"/>
          <w:sz w:val="22"/>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(y) the provisions of this </w:t>
      </w:r>
      <w:r>
        <w:rPr>
          <w:rFonts w:ascii="Times New Roman" w:hAnsi="Times New Roman"/>
          <w:b w:val="false"/>
          <w:color w:val="000000"/>
          <w:sz w:val="22"/>
          <w:u w:val="single"/>
        </w:rPr>
        <w:t>Section 2.13</w:t>
      </w:r>
      <w:r>
        <w:rPr>
          <w:rFonts w:ascii="Times New Roman" w:hAnsi="Times New Roman"/>
          <w:color w:val="000000"/>
          <w:sz w:val="20"/>
        </w:rPr>
        <w:t xml:space="preserve"> </w:t>
      </w:r>
      <w:r>
        <w:rPr>
          <w:rFonts w:ascii="Times New Roman" w:hAnsi="Times New Roman"/>
          <w:b w:val="false"/>
          <w:color w:val="000000"/>
          <w:sz w:val="22"/>
        </w:rPr>
        <w:t xml:space="preserve">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Obligations to any assignee or participant and (z) the provisions of this </w:t>
      </w:r>
      <w:r>
        <w:rPr>
          <w:rFonts w:ascii="Times New Roman" w:hAnsi="Times New Roman"/>
          <w:b w:val="false"/>
          <w:color w:val="000000"/>
          <w:sz w:val="22"/>
          <w:u w:val="single"/>
        </w:rPr>
        <w:t>Section 2.13</w:t>
      </w:r>
      <w:r>
        <w:rPr>
          <w:rFonts w:ascii="Times New Roman" w:hAnsi="Times New Roman"/>
          <w:color w:val="000000"/>
          <w:sz w:val="20"/>
        </w:rPr>
        <w:t xml:space="preserve"> </w:t>
      </w:r>
      <w:r>
        <w:rPr>
          <w:rFonts w:ascii="Times New Roman" w:hAnsi="Times New Roman"/>
          <w:b w:val="false"/>
          <w:color w:val="000000"/>
          <w:sz w:val="22"/>
        </w:rPr>
        <w:t xml:space="preserve">shall not be construed to apply to any disproportionate payment obtained by a Lender of any Class as a result of the extension by Lenders of the maturity date or expiration date of some but not all Loans or Commitments of that Class or any increase in the Applicable Rate (or other pricing term, including any fee, discount or premium) in respect of Loans or Commitments of Lenders that have consented to any such extension to the extent such transaction is permitted hereunder. The Borrower agrees that any Lender so purchasing a participation from another Lender may, to the fullest extent permitted by applicable Law, exercise all its rights of payment (including the right of setoff, but subject to </w:t>
      </w:r>
      <w:r>
        <w:rPr>
          <w:rFonts w:ascii="Times New Roman" w:hAnsi="Times New Roman"/>
          <w:b w:val="false"/>
          <w:color w:val="000000"/>
          <w:sz w:val="22"/>
          <w:u w:val="single"/>
        </w:rPr>
        <w:t>Section 10.09</w:t>
      </w:r>
      <w:r>
        <w:rPr>
          <w:rFonts w:ascii="Times New Roman" w:hAnsi="Times New Roman"/>
          <w:b w:val="false"/>
          <w:color w:val="000000"/>
          <w:sz w:val="22"/>
        </w:rPr>
        <w:t xml:space="preserve">) with respect to such participation as fully as if such Lender were the direct creditor of the Borrower in the amount of such participation. The Administrative Agent will keep records (which shall be conclusive and binding in the absence of demonstrable error) of participations purchased under this </w:t>
      </w:r>
      <w:r>
        <w:rPr>
          <w:rFonts w:ascii="Times New Roman" w:hAnsi="Times New Roman"/>
          <w:b w:val="false"/>
          <w:color w:val="000000"/>
          <w:sz w:val="22"/>
          <w:u w:val="single"/>
        </w:rPr>
        <w:t>Section 2.13</w:t>
      </w:r>
      <w:r>
        <w:rPr>
          <w:rFonts w:ascii="Times New Roman" w:hAnsi="Times New Roman"/>
          <w:color w:val="000000"/>
          <w:sz w:val="20"/>
        </w:rPr>
        <w:t xml:space="preserve"> </w:t>
      </w:r>
      <w:r>
        <w:rPr>
          <w:rFonts w:ascii="Times New Roman" w:hAnsi="Times New Roman"/>
          <w:b w:val="false"/>
          <w:color w:val="000000"/>
          <w:sz w:val="22"/>
        </w:rPr>
        <w:t xml:space="preserve">and will in each case notify the Lenders following any such purchases or repayments. Each Lender that purchases a participation pursuant to this </w:t>
      </w:r>
      <w:r>
        <w:rPr>
          <w:rFonts w:ascii="Times New Roman" w:hAnsi="Times New Roman"/>
          <w:b w:val="false"/>
          <w:color w:val="000000"/>
          <w:sz w:val="22"/>
          <w:u w:val="single"/>
        </w:rPr>
        <w:t>Section 2.13</w:t>
      </w:r>
      <w:r>
        <w:rPr>
          <w:rFonts w:ascii="Times New Roman" w:hAnsi="Times New Roman"/>
          <w:color w:val="000000"/>
          <w:sz w:val="20"/>
        </w:rPr>
        <w:t xml:space="preserve"> </w:t>
      </w:r>
      <w:r>
        <w:rPr>
          <w:rFonts w:ascii="Times New Roman" w:hAnsi="Times New Roman"/>
          <w:b w:val="false"/>
          <w:color w:val="000000"/>
          <w:sz w:val="22"/>
        </w:rPr>
        <w:t>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2.14 </w:t>
      </w:r>
      <w:r>
        <w:rPr>
          <w:rFonts w:ascii="Times New Roman" w:hAnsi="Times New Roman"/>
          <w:b w:val="false"/>
          <w:color w:val="000000"/>
          <w:sz w:val="22"/>
          <w:u w:val="single"/>
        </w:rPr>
        <w:t>Incremental Credit Extensions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At any time and from time to time, subject to the terms and conditions set forth herein, the Borrower may, by written notice to the Administrative Agent (whereupon the Administrative Agent shall promptly deliver a copy to each of the Lenders), request to increase the amount of Term Loans or add one or more additional tranches of term loans (any such Term Loans or additional tranche of term loans, the “</w:t>
      </w:r>
      <w:r>
        <w:rPr>
          <w:rFonts w:ascii="Times New Roman" w:hAnsi="Times New Roman"/>
          <w:color w:val="000000"/>
          <w:sz w:val="22"/>
          <w:u w:val="single"/>
        </w:rPr>
        <w:t>Incremental Term Loans</w:t>
      </w:r>
      <w:r>
        <w:rPr>
          <w:rFonts w:ascii="Times New Roman" w:hAnsi="Times New Roman"/>
          <w:color w:val="000000"/>
          <w:sz w:val="20"/>
        </w:rPr>
        <w:t>”</w:t>
      </w:r>
      <w:r>
        <w:rPr>
          <w:rFonts w:ascii="Times New Roman" w:hAnsi="Times New Roman"/>
          <w:color w:val="000000"/>
          <w:sz w:val="22"/>
        </w:rPr>
        <w:t>), increase the Revolving Credit Commitments of any Class (any such increase, an “</w:t>
      </w:r>
      <w:r>
        <w:rPr>
          <w:rFonts w:ascii="Times New Roman" w:hAnsi="Times New Roman"/>
          <w:color w:val="000000"/>
          <w:sz w:val="22"/>
          <w:u w:val="single"/>
        </w:rPr>
        <w:t>Incremental Revolving Increase</w:t>
      </w:r>
      <w:r>
        <w:rPr>
          <w:rFonts w:ascii="Times New Roman" w:hAnsi="Times New Roman"/>
          <w:color w:val="000000"/>
          <w:sz w:val="20"/>
        </w:rPr>
        <w:t>”</w:t>
      </w:r>
      <w:r>
        <w:rPr>
          <w:rFonts w:ascii="Times New Roman" w:hAnsi="Times New Roman"/>
          <w:color w:val="000000"/>
          <w:sz w:val="22"/>
        </w:rPr>
        <w:t>), and/or add one or more additional tranches of revolving credit commitments (the “</w:t>
      </w:r>
      <w:r>
        <w:rPr>
          <w:rFonts w:ascii="Times New Roman" w:hAnsi="Times New Roman"/>
          <w:color w:val="000000"/>
          <w:sz w:val="22"/>
          <w:u w:val="single"/>
        </w:rPr>
        <w:t>Additional Revolving Credit Commitments</w:t>
      </w:r>
      <w:r>
        <w:rPr>
          <w:rFonts w:ascii="Times New Roman" w:hAnsi="Times New Roman"/>
          <w:color w:val="000000"/>
          <w:sz w:val="20"/>
        </w:rPr>
        <w:t xml:space="preserve">” </w:t>
      </w:r>
      <w:r>
        <w:rPr>
          <w:rFonts w:ascii="Times New Roman" w:hAnsi="Times New Roman"/>
          <w:color w:val="000000"/>
          <w:sz w:val="22"/>
        </w:rPr>
        <w:t>and, together with the Incremental Revolving Increases, the “</w:t>
      </w:r>
      <w:r>
        <w:rPr>
          <w:rFonts w:ascii="Times New Roman" w:hAnsi="Times New Roman"/>
          <w:color w:val="000000"/>
          <w:sz w:val="22"/>
          <w:u w:val="single"/>
        </w:rPr>
        <w:t>Incremental Revolving Commitments</w:t>
      </w:r>
      <w:r>
        <w:rPr>
          <w:rFonts w:ascii="Times New Roman" w:hAnsi="Times New Roman"/>
          <w:color w:val="000000"/>
          <w:sz w:val="20"/>
        </w:rPr>
        <w:t>”</w:t>
      </w:r>
      <w:r>
        <w:rPr>
          <w:rFonts w:ascii="Times New Roman" w:hAnsi="Times New Roman"/>
          <w:color w:val="000000"/>
          <w:sz w:val="22"/>
        </w:rPr>
        <w:t>; and together with the Incremental Term Loans and each Incremental Revolving Increase, the “</w:t>
      </w:r>
      <w:r>
        <w:rPr>
          <w:rFonts w:ascii="Times New Roman" w:hAnsi="Times New Roman"/>
          <w:color w:val="000000"/>
          <w:sz w:val="22"/>
          <w:u w:val="single"/>
        </w:rPr>
        <w:t>Incremental Facilities</w:t>
      </w:r>
      <w:r>
        <w:rPr>
          <w:rFonts w:ascii="Times New Roman" w:hAnsi="Times New Roman"/>
          <w:color w:val="000000"/>
          <w:sz w:val="20"/>
        </w:rPr>
        <w:t>”</w:t>
      </w:r>
      <w:r>
        <w:rPr>
          <w:rFonts w:ascii="Times New Roman" w:hAnsi="Times New Roman"/>
          <w:color w:val="000000"/>
          <w:sz w:val="22"/>
        </w:rPr>
        <w:t xml:space="preserve">). Notwithstanding anything to contrary herein, the aggregate principal amount of all Incremental Facilities (other than Refinancing Term Loans and Refinancing Revolving Commitments) (determined at the time of incurrence), together with the aggregate principal amount of all Incremental Equivalent Debt, shall not exceed the Incremental Cap. Each Incremental Facility shall be in an integral multiple of $1,000,000 and be in an aggregate principal amount that is not less than $5,000,000,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amount may be less than the applicable minimum amount if such amount represents all the remaining availability hereunder as set forth above. Each Incremental Facility shall have the same guarantees as all of the other Obligations hereunder, will not be secured by any assets not constituting Collateral securing the Obligations hereunder and shall be secured by Liens ranking pari passu with the Liens securing the Obligations. No existing Lender shall be required to participate in any Incremental Facility; provided that the Lenders as of the Closing Date (or their applicable Affiliates or Approved Funds who are Lenders at such time) shall first be offered, by written request from the Borrower, the right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to accept or reject (in each case in their sole discretion) the opportunity to provide on a pro rata basis any such Incremental Facility. After giving effect to any Incremental Revolving Commitments, the ratio of the Revolving Credit Facility and any Incremental Revolving Commitments to the Facilities (including any Incremental Facilities) as a whole shall not exceed the ratio of the Revolving Credit Facility to the Facilities as a whole as of the First Amendment Effective Date. Neither the Borrower nor any of its Affiliates or the Permitted Holders shall participate in any Incremental Facility.</w:t>
      </w:r>
    </w:p>
    <w:p>
      <w:pPr>
        <w:pStyle w:val="TextBody"/>
        <w:bidi w:val="0"/>
        <w:spacing w:before="0" w:after="240"/>
        <w:ind w:left="720" w:right="0" w:firstLine="720"/>
        <w:jc w:val="both"/>
        <w:rPr>
          <w:rFonts w:ascii="Times New Roman" w:hAnsi="Times New Roman"/>
          <w:sz w:val="20"/>
        </w:rPr>
      </w:pPr>
      <w:bookmarkStart w:id="47" w:name="docxtextref983"/>
      <w:bookmarkEnd w:id="47"/>
      <w:r>
        <w:rPr>
          <w:rFonts w:ascii="Times New Roman" w:hAnsi="Times New Roman"/>
          <w:color w:val="000000"/>
          <w:sz w:val="22"/>
        </w:rPr>
        <w:t xml:space="preserve">(b) Any Incremental Term Loans (other than Refinancing Term Loans) (i) for purposes of prepayments, shall be treated no more favorably than the Initial Term Loans, (ii) shall have interest rate margins and (subject to </w:t>
      </w:r>
      <w:r>
        <w:rPr>
          <w:rFonts w:ascii="Times New Roman" w:hAnsi="Times New Roman"/>
          <w:color w:val="000000"/>
          <w:sz w:val="22"/>
          <w:u w:val="single"/>
        </w:rPr>
        <w:t>clauses (iii)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(iv)</w:t>
      </w:r>
      <w:r>
        <w:rPr>
          <w:rFonts w:ascii="Times New Roman" w:hAnsi="Times New Roman"/>
          <w:color w:val="000000"/>
          <w:sz w:val="22"/>
        </w:rPr>
        <w:t>) amortization schedule as determined by the Borrower and the lenders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unless waived by the Required Lenders, if the Effective Yield of any Incremental Term Loans exceeds the Effective Yield of the Initial Term Loans immediately prior to the effectiveness of the applicable Incremental Facility Amendment by more than 0.50% </w:t>
      </w:r>
      <w:r>
        <w:rPr>
          <w:rFonts w:ascii="Times New Roman" w:hAnsi="Times New Roman"/>
          <w:i/>
          <w:color w:val="000000"/>
          <w:sz w:val="22"/>
        </w:rPr>
        <w:t>per annum</w:t>
      </w:r>
      <w:r>
        <w:rPr>
          <w:rFonts w:ascii="Times New Roman" w:hAnsi="Times New Roman"/>
          <w:color w:val="000000"/>
          <w:sz w:val="22"/>
        </w:rPr>
        <w:t xml:space="preserve">, the Applicable Rate and/or, as set forth below, the interest rate floor relating to the Initial Term Loans shall be adjusted such that the Effective Yield of the Initial Term Loans is equal to the Effective Yield of such Incremental Term Loans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0.50% </w:t>
      </w:r>
      <w:r>
        <w:rPr>
          <w:rFonts w:ascii="Times New Roman" w:hAnsi="Times New Roman"/>
          <w:i/>
          <w:color w:val="000000"/>
          <w:sz w:val="22"/>
        </w:rPr>
        <w:t xml:space="preserve">per annum </w:t>
      </w:r>
      <w:r>
        <w:rPr>
          <w:rFonts w:ascii="Times New Roman" w:hAnsi="Times New Roman"/>
          <w:color w:val="000000"/>
          <w:sz w:val="22"/>
        </w:rPr>
        <w:t>(the “</w:t>
      </w:r>
      <w:r>
        <w:rPr>
          <w:rFonts w:ascii="Times New Roman" w:hAnsi="Times New Roman"/>
          <w:color w:val="000000"/>
          <w:sz w:val="22"/>
          <w:u w:val="single"/>
        </w:rPr>
        <w:t>MFN Adjustment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increase in Effective Yield with respect to the Initial Term Loans due to the application of an interest rate floor to any Incremental Term Loan greater than the interest rate floor applicable to the Initial Term Loans shall be effected solely through an increase in the interest rate floor applicable to the Initial Term Loans), (iii) other than with respect to any customary bridge facility so long as the long-term Indebtedness into which any such customary bridge facility is to be converted satisfies such limitations, any Incremental Term Loan shall not have a final maturity date earlier than the Maturity Date applicable to the Initial Term Loans, (iv) other than with respect to any customary bridge facility so long as the long-term Indebtedness into which any such customary bridge facility is to be converted satisfies such limitations, any Incremental Term Loan shall not have a Weighted Average Life to Maturity that is shorter than the Weighted Average Life to Maturity of the Initial Term Loans and (v) except to the extent otherwise permitted by this </w:t>
      </w:r>
      <w:r>
        <w:rPr>
          <w:rFonts w:ascii="Times New Roman" w:hAnsi="Times New Roman"/>
          <w:color w:val="000000"/>
          <w:sz w:val="22"/>
          <w:u w:val="single"/>
        </w:rPr>
        <w:t>Section 2.14</w:t>
      </w:r>
      <w:r>
        <w:rPr>
          <w:rFonts w:ascii="Times New Roman" w:hAnsi="Times New Roman"/>
          <w:color w:val="000000"/>
          <w:sz w:val="22"/>
        </w:rPr>
        <w:t xml:space="preserve">, shall be on terms and pursuant to documentation to be determined by the Borrower and the lenders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 xml:space="preserve">to the extent such terms and documentation are not consistent with the Initial Term Loans (except to the extent otherwise permitted in this </w:t>
      </w:r>
      <w:r>
        <w:rPr>
          <w:rFonts w:ascii="Times New Roman" w:hAnsi="Times New Roman"/>
          <w:color w:val="000000"/>
          <w:sz w:val="22"/>
          <w:u w:val="single"/>
        </w:rPr>
        <w:t>Section 2.14</w:t>
      </w:r>
      <w:r>
        <w:rPr>
          <w:rFonts w:ascii="Times New Roman" w:hAnsi="Times New Roman"/>
          <w:color w:val="000000"/>
          <w:sz w:val="22"/>
        </w:rPr>
        <w:t>), they shall either (A)</w:t>
      </w:r>
      <w:r>
        <w:rPr>
          <w:rFonts w:ascii="Times New Roman" w:hAnsi="Times New Roman"/>
          <w:color w:val="000000"/>
          <w:sz w:val="20"/>
        </w:rPr>
        <w:t xml:space="preserve"> </w:t>
      </w:r>
      <w:r>
        <w:rPr>
          <w:rFonts w:ascii="Times New Roman" w:hAnsi="Times New Roman"/>
          <w:color w:val="000000"/>
          <w:sz w:val="22"/>
        </w:rPr>
        <w:t xml:space="preserve">not be materially more restrictive to the Borrower (as reasonably determined by the Borrower in good faith), when taken as a whole, than the terms and conditions applicable to the Initial Term Loans (in each case, unless the Lenders with respect to the Initial Term Loan receive the benefit of such more restrictive terms or conditions through their addition to this Agreement or to the extent that they apply solely to periods following the </w:t>
      </w:r>
      <w:bookmarkStart w:id="48" w:name="docxtextref984"/>
      <w:bookmarkEnd w:id="48"/>
      <w:r>
        <w:rPr>
          <w:rFonts w:ascii="Times New Roman" w:hAnsi="Times New Roman"/>
          <w:color w:val="000000"/>
          <w:sz w:val="22"/>
        </w:rPr>
        <w:t>Latest Maturity Date with respect to the Initial Term Loans or (B)</w:t>
      </w:r>
      <w:r>
        <w:rPr>
          <w:rFonts w:ascii="Times New Roman" w:hAnsi="Times New Roman"/>
          <w:color w:val="000000"/>
          <w:sz w:val="20"/>
        </w:rPr>
        <w:t xml:space="preserve"> </w:t>
      </w:r>
      <w:r>
        <w:rPr>
          <w:rFonts w:ascii="Times New Roman" w:hAnsi="Times New Roman"/>
          <w:color w:val="000000"/>
          <w:sz w:val="22"/>
        </w:rPr>
        <w:t>be reasonably satisfactory to the Administrative Agent.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Any Additional Revolving Credit Commitments (other than Refinancing Revolving Commitments) (i) for purposes of prepayments, shall be treated no more favorably than the Revolving Credit Commitments, (ii) shall have interest rate margins and (subject to </w:t>
      </w:r>
      <w:r>
        <w:rPr>
          <w:rFonts w:ascii="Times New Roman" w:hAnsi="Times New Roman"/>
          <w:color w:val="000000"/>
          <w:sz w:val="22"/>
          <w:u w:val="single"/>
        </w:rPr>
        <w:t>clauses (iii)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(iv)</w:t>
      </w:r>
      <w:r>
        <w:rPr>
          <w:rFonts w:ascii="Times New Roman" w:hAnsi="Times New Roman"/>
          <w:color w:val="000000"/>
          <w:sz w:val="22"/>
        </w:rPr>
        <w:t>) amortization schedule as determined by the Borrower and the lenders thereunder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Incremental Revolving Commitments shall require no scheduled amortization or mandatory commitment reduction prior to the final Maturity Date of the Revolving Credit Commitments), (iii) shall not have a final maturity date earlier than the Maturity Date applicable to the Revolving Credit Commitments, (iv) shall not have a Weighted Average Life to Maturity that is shorter than the Weighted Average Life to Maturity of the Revolving Credit Commitments, and (v) except to the extent otherwise permitted by this </w:t>
      </w:r>
      <w:r>
        <w:rPr>
          <w:rFonts w:ascii="Times New Roman" w:hAnsi="Times New Roman"/>
          <w:color w:val="000000"/>
          <w:sz w:val="22"/>
          <w:u w:val="single"/>
        </w:rPr>
        <w:t>Section 2.14</w:t>
      </w:r>
      <w:r>
        <w:rPr>
          <w:rFonts w:ascii="Times New Roman" w:hAnsi="Times New Roman"/>
          <w:color w:val="000000"/>
          <w:sz w:val="22"/>
        </w:rPr>
        <w:t xml:space="preserve">, shall be on terms and pursuant to documentation to be determined by the Borrower and the lenders thereunder;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to the extent such terms and documentation are not consistent with the Revolving Credit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Commitments (except to the extent otherwise permitted in this </w:t>
      </w:r>
      <w:r>
        <w:rPr>
          <w:rFonts w:ascii="Times New Roman" w:hAnsi="Times New Roman"/>
          <w:color w:val="000000"/>
          <w:sz w:val="22"/>
          <w:u w:val="single"/>
        </w:rPr>
        <w:t>Section 2.14</w:t>
      </w:r>
      <w:r>
        <w:rPr>
          <w:rFonts w:ascii="Times New Roman" w:hAnsi="Times New Roman"/>
          <w:color w:val="000000"/>
          <w:sz w:val="22"/>
        </w:rPr>
        <w:t>), they shall either (A) not be materially more restrictive to the Borrower (as reasonably determined by the Borrower in good faith), when taken as a whole, than the terms and conditions applicable to the initial Revolving Credit Commitments (in each case, unless the Lenders with respect to the initial Revolving Credit Commitments receive the benefit of such more restrictive terms or conditions through their addition to this Agreement or to the extent that they apply solely to periods following the Latest Maturity Date with respect to the Revolving Credit Commitments or (B) be reasonably satisfactory to the Administrative Agent. Any Incremental Revolving Increases shall be on the same terms and pursuant to the same documentation as the Revolving Credit Commitments.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Each notice from the Borrower pursuant to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shall set forth the requested amount and proposed terms of the relevant Incremental Facility. Any additional bank, financial institution, existing Lender or other Person that elects to extend Incremental Facilities shall be reasonably satisfactory to the Borrower and the Administrative Agent and, in the case of Incremental Revolving Commitments, each L/C Issuer (any such bank, financial institution, existing Lender or other Person being called an “</w:t>
      </w:r>
      <w:r>
        <w:rPr>
          <w:rFonts w:ascii="Times New Roman" w:hAnsi="Times New Roman"/>
          <w:color w:val="000000"/>
          <w:sz w:val="22"/>
          <w:u w:val="single"/>
        </w:rPr>
        <w:t>Additional Lender</w:t>
      </w:r>
      <w:r>
        <w:rPr>
          <w:rFonts w:ascii="Times New Roman" w:hAnsi="Times New Roman"/>
          <w:color w:val="000000"/>
          <w:sz w:val="20"/>
        </w:rPr>
        <w:t>”</w:t>
      </w:r>
      <w:r>
        <w:rPr>
          <w:rFonts w:ascii="Times New Roman" w:hAnsi="Times New Roman"/>
          <w:color w:val="000000"/>
          <w:sz w:val="22"/>
        </w:rPr>
        <w:t>) and, if not already a Lender, shall become a Lender under this Agreement pursuant to an amendment (an “</w:t>
      </w:r>
      <w:r>
        <w:rPr>
          <w:rFonts w:ascii="Times New Roman" w:hAnsi="Times New Roman"/>
          <w:color w:val="000000"/>
          <w:sz w:val="22"/>
          <w:u w:val="single"/>
        </w:rPr>
        <w:t>Incremental Facility Amendment</w:t>
      </w:r>
      <w:r>
        <w:rPr>
          <w:rFonts w:ascii="Times New Roman" w:hAnsi="Times New Roman"/>
          <w:color w:val="000000"/>
          <w:sz w:val="20"/>
        </w:rPr>
        <w:t>”</w:t>
      </w:r>
      <w:r>
        <w:rPr>
          <w:rFonts w:ascii="Times New Roman" w:hAnsi="Times New Roman"/>
          <w:color w:val="000000"/>
          <w:sz w:val="22"/>
        </w:rPr>
        <w:t xml:space="preserve">) to this Agreement and, as appropriate, the other Loan Documents, executed by the Borrower, such Additional Lender, the Administrative Agent and, in the case of any Incremental Revolving Commitments, each L/C Issuer. No Incremental Facility Amendment shall require the consent of any Lenders other than the Additional Lenders with respect to such Incremental Facility Amendment and, in the case of Incremental Revolving Commitments, each L/C Issuer. Commitments in respect of any Incremental Term Loans and Incremental Revolving Commitments shall become Commitments under this Agreement. An Incremental Facility Amendment may, without the consent of any other Lenders, effect such amendments to any Loan Documents as may be necessary or appropriate, in the opinion of the Administrative Agent, to effect the provisions of this </w:t>
      </w:r>
      <w:r>
        <w:rPr>
          <w:rFonts w:ascii="Times New Roman" w:hAnsi="Times New Roman"/>
          <w:color w:val="000000"/>
          <w:sz w:val="22"/>
          <w:u w:val="single"/>
        </w:rPr>
        <w:t>Section 2.14</w:t>
      </w:r>
      <w:r>
        <w:rPr>
          <w:rFonts w:ascii="Times New Roman" w:hAnsi="Times New Roman"/>
          <w:color w:val="000000"/>
          <w:sz w:val="22"/>
        </w:rPr>
        <w:t>. Any Incremental Facility Amendment shall be pursuant to documentation to be mutually agreed by the Borrower, the Administrative Agent and each Additional Lender. For the avoidance of doubt, Incremental Facilities shall be part of the Facilities governed by the Loan Documents.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(e) The effectiveness of any Incremental Facility Amendment shall, unless otherwise agreed to by the Administrative Agent and the Additional Lenders, be subject to the satisfaction on the date thereof (each, an “</w:t>
      </w:r>
      <w:r>
        <w:rPr>
          <w:rFonts w:ascii="Times New Roman" w:hAnsi="Times New Roman"/>
          <w:color w:val="000000"/>
          <w:sz w:val="22"/>
          <w:u w:val="single"/>
        </w:rPr>
        <w:t>Incremental Facility Closing Date</w:t>
      </w:r>
      <w:r>
        <w:rPr>
          <w:rFonts w:ascii="Times New Roman" w:hAnsi="Times New Roman"/>
          <w:color w:val="000000"/>
          <w:sz w:val="20"/>
        </w:rPr>
        <w:t>”</w:t>
      </w:r>
      <w:r>
        <w:rPr>
          <w:rFonts w:ascii="Times New Roman" w:hAnsi="Times New Roman"/>
          <w:color w:val="000000"/>
          <w:sz w:val="22"/>
        </w:rPr>
        <w:t xml:space="preserve">) of each of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(it being understood that (i) the representations and warranties of each Loan Party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being true and correct in all material respects (although any representations and warranties which expressly relate to a given date or period shall be true and correct in all material respects as of the respective date or for the respective period, as the case may be) and all references to “such date of such Credit Extension” shall be deemed to refer to the Incremental Facility Closing Date and (ii) no Default or Event of Default shall have occurred and be continuing, or would result from such issuance of the Incremental Facility);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Incremental Facilities the proceeds of which will be used to finance (1) a Limited Condition Transaction, the only representations and warranties that will be required to be true and correct in all material respects as of the applicable Incremental Facility Closing Date shall be the Specified Representations;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Incremental Facilities the proceeds of which will be used to finance a Limited Condition Transaction, (x) no Event of Default shall have occurred and be continuing at the time the definitive agreement for such Limited Condition Transaction is entered into and (y) </w:t>
      </w:r>
      <w:r>
        <w:rPr>
          <w:rFonts w:ascii="Times New Roman" w:hAnsi="Times New Roman"/>
          <w:color w:val="000000"/>
          <w:sz w:val="22"/>
          <w:u w:val="single"/>
        </w:rPr>
        <w:t>Section 4.02(b)</w:t>
      </w:r>
      <w:r>
        <w:rPr>
          <w:rFonts w:ascii="Times New Roman" w:hAnsi="Times New Roman"/>
          <w:color w:val="000000"/>
          <w:sz w:val="20"/>
        </w:rPr>
        <w:t xml:space="preserve"> </w:t>
      </w:r>
      <w:r>
        <w:rPr>
          <w:rFonts w:ascii="Times New Roman" w:hAnsi="Times New Roman"/>
          <w:color w:val="000000"/>
          <w:sz w:val="22"/>
        </w:rPr>
        <w:t>shall be limited to Specified Events of Default. The proceeds of any Incremental Term Loans will be used for general corporate purposes (including (without limitation) Permitted Acquisitions) and for any other purpose not prohibited hereunder.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Upon each increase in the Revolving Credit Commitments under such Revolving Credit Facility pursuant to this </w:t>
      </w:r>
      <w:r>
        <w:rPr>
          <w:rFonts w:ascii="Times New Roman" w:hAnsi="Times New Roman"/>
          <w:color w:val="000000"/>
          <w:sz w:val="22"/>
          <w:u w:val="single"/>
        </w:rPr>
        <w:t>Section 2.14</w:t>
      </w:r>
      <w:r>
        <w:rPr>
          <w:rFonts w:ascii="Times New Roman" w:hAnsi="Times New Roman"/>
          <w:color w:val="000000"/>
          <w:sz w:val="22"/>
        </w:rPr>
        <w:t>, each Revolving Credit Lender immediately prior to such increase will automatically and without further act be deemed to have assigned to each Lender providing a portion of the Incremental Revolving Commitment (each, an “</w:t>
      </w:r>
      <w:r>
        <w:rPr>
          <w:rFonts w:ascii="Times New Roman" w:hAnsi="Times New Roman"/>
          <w:color w:val="000000"/>
          <w:sz w:val="22"/>
          <w:u w:val="single"/>
        </w:rPr>
        <w:t>Incremental Revolving Lender</w:t>
      </w:r>
      <w:r>
        <w:rPr>
          <w:rFonts w:ascii="Times New Roman" w:hAnsi="Times New Roman"/>
          <w:color w:val="000000"/>
          <w:sz w:val="20"/>
        </w:rPr>
        <w:t>”</w:t>
      </w:r>
      <w:r>
        <w:rPr>
          <w:rFonts w:ascii="Times New Roman" w:hAnsi="Times New Roman"/>
          <w:color w:val="000000"/>
          <w:sz w:val="22"/>
        </w:rPr>
        <w:t>) in respect of such increase, and each such Incremental Revolving Lender will automatically and without further act be deemed to have assumed, a portion of such Revolving Credit Lender’s participations hereunder in outstanding Letters of Credit such that, after giving effect to each such deemed assignment and assumption of participations, the percentage of the aggregate outstanding participations hereunder in Letters of Credit under such Revolving Credit Facility held by each Revolving Credit Lender (including each such Incremental Revolving Lender) under such Revolving Credit Facility will equal the percentage of the aggregate Revolving Credit Commitments of all Revolving Credit Lenders represented by such Revolving Credit Lender’s Revolving Credit Commitment. Additionally, if any Revolving Credit Loans are outstanding under a Revolving Credit Facility at the time any Incremental Revolving Commitments are established under such Revolving Credit Facility, the Revolving Credit Lenders immediately after effectiveness of such Incremental Revolving Commitments shall purchase and assign at par such amounts of the Revolving Credit Loans outstanding under such Revolving Credit Facility at such time as the Administrative Agent may require such that each Revolving Credit Lender under such Revolving Credit Facility holds its Applicable Percentage of all Revolving Credit Loans outstanding under such Revolving Credit Facility immediately after giving effect to all such assignments.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Any portion of any Incremental Facility incurred other than under the Incremental Incurrence Test shall be automatically reclassified at any time, as the Borrower may elect from time to time, as incurred under the Incremental Incurrence Test if the Borrower meets the applicable ratio under the Incremental Incurrence Test at such time on a Pro Forma Basis at any time subsequent to the incurrence of such Incremental Facility (or would have met such ratio, in which case, such reclassification shall be deemed to have automatically occurred if not elected by the Borrower).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2.15 </w:t>
      </w:r>
      <w:r>
        <w:rPr>
          <w:rFonts w:ascii="Times New Roman" w:hAnsi="Times New Roman"/>
          <w:b w:val="false"/>
          <w:color w:val="000000"/>
          <w:sz w:val="22"/>
          <w:u w:val="single"/>
        </w:rPr>
        <w:t>Extensions of Term Loans and Revolving Credit Commitments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Notwithstanding anything to the contrary in this Agreement, pursuant to one or more offers (each, an “</w:t>
      </w:r>
      <w:r>
        <w:rPr>
          <w:rFonts w:ascii="Times New Roman" w:hAnsi="Times New Roman"/>
          <w:color w:val="000000"/>
          <w:sz w:val="22"/>
          <w:u w:val="single"/>
        </w:rPr>
        <w:t>Extension Offer</w:t>
      </w:r>
      <w:r>
        <w:rPr>
          <w:rFonts w:ascii="Times New Roman" w:hAnsi="Times New Roman"/>
          <w:color w:val="000000"/>
          <w:sz w:val="20"/>
        </w:rPr>
        <w:t>”</w:t>
      </w:r>
      <w:r>
        <w:rPr>
          <w:rFonts w:ascii="Times New Roman" w:hAnsi="Times New Roman"/>
          <w:color w:val="000000"/>
          <w:sz w:val="22"/>
        </w:rPr>
        <w:t>) made from time to time by the Borrower to all Lenders of any Class of Term Loans or any Class of Revolving Credit Commitments, in each case on a pro rata basis (based on the aggregate outstanding principal amount of the respective Term Loans or Revolving Credit Commitments of the applicable Class) and on the same terms to each such Lender, the Borrower are hereby permitted to consummate from time to time transactions with individual Lenders that accept the terms contained in such Extension Offers to extend the maturity date of each such Lender’s Term Loans and/or Revolving Credit Commitments of the applicable Class and otherwise modify the terms of such Term Loans and/or Revolving Credit Commitments pursuant to the terms of the relevant Extension Offer (including, without limitation, by increasing the interest rate or fees payable in respect of such Term Loans and/or Revolving Credit Commitments (and related outstandings) and/or modifying the amortization schedule in respect of such Lender’s Term Loans, and which such extensions shall not be subject to any “no default” requirement, pro forma compliance with any leverage ratio or other financial tests or “most favored nations provisions”) (each, an “</w:t>
      </w:r>
      <w:r>
        <w:rPr>
          <w:rFonts w:ascii="Times New Roman" w:hAnsi="Times New Roman"/>
          <w:color w:val="000000"/>
          <w:sz w:val="22"/>
          <w:u w:val="single"/>
        </w:rPr>
        <w:t>Extension</w:t>
      </w:r>
      <w:r>
        <w:rPr>
          <w:rFonts w:ascii="Times New Roman" w:hAnsi="Times New Roman"/>
          <w:color w:val="000000"/>
          <w:sz w:val="22"/>
        </w:rPr>
        <w:t>,” and each group of Term Loans or Revolving Credit Commitments, as applicable, in each case as so extended, as well as the original Term Loans and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the original Revolving Credit Commitments (in each case not so extended), being a separate Class of Term Loans from the Class of Term Loans from which they were converted, and any Extended Revolving Credit Commitments (as defined below) shall constitute a separate Class of Revolving Credit Commitments from the Class of Revolving Credit Commitments from which they were converted and it being understood that an Extension may be in the form of an increase in the amount of any other outstanding Class of Term Loans or Revolving Credit Commitments otherwise satisfying the criteria set forth below), so long as the following terms are satisfied: (i) except as to interest rates, fees and final maturity (which shall be determined by the Borrower and set forth in the relevant Extension Offer; provided that the final maturity thereof shall be no earlier than the maturity date of the Revolving Credit Commitments extended thereby), the Revolving Credit Commitment of any Revolving Credit Lender that agrees to an extension with respect to such Revolving Credit Commitment (an “</w:t>
      </w:r>
      <w:r>
        <w:rPr>
          <w:rFonts w:ascii="Times New Roman" w:hAnsi="Times New Roman"/>
          <w:color w:val="000000"/>
          <w:sz w:val="22"/>
          <w:u w:val="single"/>
        </w:rPr>
        <w:t>Extending Revolving Credit Lender</w:t>
      </w:r>
      <w:r>
        <w:rPr>
          <w:rFonts w:ascii="Times New Roman" w:hAnsi="Times New Roman"/>
          <w:color w:val="000000"/>
          <w:sz w:val="20"/>
        </w:rPr>
        <w:t>”</w:t>
      </w:r>
      <w:r>
        <w:rPr>
          <w:rFonts w:ascii="Times New Roman" w:hAnsi="Times New Roman"/>
          <w:color w:val="000000"/>
          <w:sz w:val="22"/>
        </w:rPr>
        <w:t>) extended pursuant to an Extension (an “</w:t>
      </w:r>
      <w:r>
        <w:rPr>
          <w:rFonts w:ascii="Times New Roman" w:hAnsi="Times New Roman"/>
          <w:color w:val="000000"/>
          <w:sz w:val="22"/>
          <w:u w:val="single"/>
        </w:rPr>
        <w:t>Extended Revolving Credit Commitment</w:t>
      </w:r>
      <w:r>
        <w:rPr>
          <w:rFonts w:ascii="Times New Roman" w:hAnsi="Times New Roman"/>
          <w:color w:val="000000"/>
          <w:sz w:val="20"/>
        </w:rPr>
        <w:t>”</w:t>
      </w:r>
      <w:r>
        <w:rPr>
          <w:rFonts w:ascii="Times New Roman" w:hAnsi="Times New Roman"/>
          <w:color w:val="000000"/>
          <w:sz w:val="22"/>
        </w:rPr>
        <w:t xml:space="preserve">), and the related outstandings, shall be a Revolving Credit Commitment (or related outstandings, as the case may be) with the same terms as the original Class of Revolving Credit Commitments;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at no time shall there be Revolving Credit Commitments hereunder (including Extended Revolving Credit Commitments and any original Revolving Credit Commitments) which have more than three different maturity dates, (ii) except as to interest rates, fees, amortization, final maturity date, premium, required prepayment dates and participation in prepayments (which shall, subject to immediately succeeding </w:t>
      </w:r>
      <w:r>
        <w:rPr>
          <w:rFonts w:ascii="Times New Roman" w:hAnsi="Times New Roman"/>
          <w:color w:val="000000"/>
          <w:sz w:val="22"/>
          <w:u w:val="single"/>
        </w:rPr>
        <w:t>clauses (iii)</w:t>
      </w:r>
      <w:r>
        <w:rPr>
          <w:rFonts w:ascii="Times New Roman" w:hAnsi="Times New Roman"/>
          <w:color w:val="000000"/>
          <w:sz w:val="22"/>
        </w:rPr>
        <w:t xml:space="preserve">, </w:t>
      </w:r>
      <w:r>
        <w:rPr>
          <w:rFonts w:ascii="Times New Roman" w:hAnsi="Times New Roman"/>
          <w:color w:val="000000"/>
          <w:sz w:val="22"/>
          <w:u w:val="single"/>
        </w:rPr>
        <w:t>(iv)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w:t>
      </w:r>
      <w:r>
        <w:rPr>
          <w:rFonts w:ascii="Times New Roman" w:hAnsi="Times New Roman"/>
          <w:color w:val="000000"/>
          <w:sz w:val="22"/>
        </w:rPr>
        <w:t>, be determined by the Borrower and set forth in the relevant Extension Offer), the Term Loans of any Term Lender that agrees to an extension with respect to such Term Loans (an “</w:t>
      </w:r>
      <w:r>
        <w:rPr>
          <w:rFonts w:ascii="Times New Roman" w:hAnsi="Times New Roman"/>
          <w:color w:val="000000"/>
          <w:sz w:val="22"/>
          <w:u w:val="single"/>
        </w:rPr>
        <w:t>Extending Term Lender</w:t>
      </w:r>
      <w:r>
        <w:rPr>
          <w:rFonts w:ascii="Times New Roman" w:hAnsi="Times New Roman"/>
          <w:color w:val="000000"/>
          <w:sz w:val="20"/>
        </w:rPr>
        <w:t>”</w:t>
      </w:r>
      <w:r>
        <w:rPr>
          <w:rFonts w:ascii="Times New Roman" w:hAnsi="Times New Roman"/>
          <w:color w:val="000000"/>
          <w:sz w:val="22"/>
        </w:rPr>
        <w:t>) extended pursuant to any Extension (“</w:t>
      </w:r>
      <w:r>
        <w:rPr>
          <w:rFonts w:ascii="Times New Roman" w:hAnsi="Times New Roman"/>
          <w:color w:val="000000"/>
          <w:sz w:val="22"/>
          <w:u w:val="single"/>
        </w:rPr>
        <w:t>Extended Term Loans</w:t>
      </w:r>
      <w:r>
        <w:rPr>
          <w:rFonts w:ascii="Times New Roman" w:hAnsi="Times New Roman"/>
          <w:color w:val="000000"/>
          <w:sz w:val="20"/>
        </w:rPr>
        <w:t>”</w:t>
      </w:r>
      <w:r>
        <w:rPr>
          <w:rFonts w:ascii="Times New Roman" w:hAnsi="Times New Roman"/>
          <w:color w:val="000000"/>
          <w:sz w:val="22"/>
        </w:rPr>
        <w:t xml:space="preserve">) shall have the same terms as the Class of Term Loans subject to such Extension Offer other than with respect to covenants or other provisions applicable to periods after the Latest Maturity Date, (iii) the final maturity date of any Extended Term Loans or any Extended Revolving Credit Commitments shall be no earlier than the maturity date of the Term Loans or Revolving Credit Commitments, respectively, extended thereby and the amortization schedule applicable to Term Loans pursuant to </w:t>
      </w:r>
      <w:r>
        <w:rPr>
          <w:rFonts w:ascii="Times New Roman" w:hAnsi="Times New Roman"/>
          <w:color w:val="000000"/>
          <w:sz w:val="22"/>
          <w:u w:val="single"/>
        </w:rPr>
        <w:t>Section 2.07(a)</w:t>
      </w:r>
      <w:r>
        <w:rPr>
          <w:rFonts w:ascii="Times New Roman" w:hAnsi="Times New Roman"/>
          <w:color w:val="000000"/>
          <w:sz w:val="20"/>
        </w:rPr>
        <w:t xml:space="preserve"> </w:t>
      </w:r>
      <w:r>
        <w:rPr>
          <w:rFonts w:ascii="Times New Roman" w:hAnsi="Times New Roman"/>
          <w:color w:val="000000"/>
          <w:sz w:val="22"/>
        </w:rPr>
        <w:t xml:space="preserve">for periods prior to the Maturity Date for Term Loans may not be increased, (iv) the Weighted Average Life to Maturity of any Extended Term Loans or Extended Revolving Credit Commitments shall be no shorter than the remaining Weighted Average Life to Maturity of the Term Loans or Revolving Credit Commitments, respectively, extended thereby, (v) any Extended Term Loans or Extended Revolving Credit Commitments may participate on a pro rata basis or a less than pro rata basis (but not greater than a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in any voluntary or mandatory repayments or prepayments hereunder, in each case as specified in the respective Extension Offer, which Extension Offer may also provide that any such voluntary or mandatory repayments or prepayments hereunder may first be directed to the Loans which are non-Extended Term Loans or non-Extended Revolving Credit Commitments, prior to being applied to such Extended Term Loans or Extended Revolving Credit Commitments, (vi) if the aggregate principal amount of Term Loans (calculated on the face amount thereof) or Revolving Credit Commitments, as the case may be, in respect of which Term Lenders or Revolving Credit Lenders, as the case may be, shall have accepted the relevant Extension Offer shall exceed the maximum aggregate principal amount of Term Loans or Revolving Credit Commitments, as the case may be, offered to be extended by the Borrower pursuant to such Extension Offer, then the Term Loans or Revolving Credit Loans, as the case may be, of such Term Lenders or Revolving Credit Lenders, as the case may be, shall be extended ratably up to such maximum amount based on the respective principal amounts (but not to exceed actual holdings of record) with respect to which such Term Lenders or Revolving Credit Lenders, as the case may be, have accepted such Extension Offer, (vii) all documentation in respect of such Extension shall be consistent with the foregoing, (viii) any applicable Minimum Extension Condition shall be satisfied unless waived by the Borrower and (ix) the Minimum Tranche Amount shall be satisfied unless waived by the Administrative Agent. No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Lender shall be obligated to extend its Term Loans or Revolving Credit Commitments unless it so agrees.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With respect to all Extensions consummated by the Borrower pursuant to this </w:t>
      </w:r>
      <w:r>
        <w:rPr>
          <w:rFonts w:ascii="Times New Roman" w:hAnsi="Times New Roman"/>
          <w:color w:val="000000"/>
          <w:sz w:val="22"/>
          <w:u w:val="single"/>
        </w:rPr>
        <w:t>Section 2.15</w:t>
      </w:r>
      <w:r>
        <w:rPr>
          <w:rFonts w:ascii="Times New Roman" w:hAnsi="Times New Roman"/>
          <w:color w:val="000000"/>
          <w:sz w:val="22"/>
        </w:rPr>
        <w:t xml:space="preserve">, (i) such Extensions shall not constitute voluntary or mandatory payments or prepayments for purposes of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and (ii) no Extension Offer is required to be in any minimum amount or any minimum increment,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 the Borrower may at their election specify as a condition (a “</w:t>
      </w:r>
      <w:r>
        <w:rPr>
          <w:rFonts w:ascii="Times New Roman" w:hAnsi="Times New Roman"/>
          <w:color w:val="000000"/>
          <w:sz w:val="22"/>
          <w:u w:val="single"/>
        </w:rPr>
        <w:t>Minimum Extension Condition</w:t>
      </w:r>
      <w:r>
        <w:rPr>
          <w:rFonts w:ascii="Times New Roman" w:hAnsi="Times New Roman"/>
          <w:color w:val="000000"/>
          <w:sz w:val="20"/>
        </w:rPr>
        <w:t>”</w:t>
      </w:r>
      <w:r>
        <w:rPr>
          <w:rFonts w:ascii="Times New Roman" w:hAnsi="Times New Roman"/>
          <w:color w:val="000000"/>
          <w:sz w:val="22"/>
        </w:rPr>
        <w:t>) to consummating any such Extension that a minimum amount (to be determined and specified in the relevant Extension Offer in the Borrower’s sole discretion and may be waived by the Borrower) of Term Loans or Revolving Credit Commitments (as applicable) of any or all applicable Classes be tendered and (y) no Class of Extended Term Loans shall be in an amount of less than $10,000,000 (the “</w:t>
      </w:r>
      <w:r>
        <w:rPr>
          <w:rFonts w:ascii="Times New Roman" w:hAnsi="Times New Roman"/>
          <w:color w:val="000000"/>
          <w:sz w:val="22"/>
          <w:u w:val="single"/>
        </w:rPr>
        <w:t>Minimum Tranche Amount</w:t>
      </w:r>
      <w:r>
        <w:rPr>
          <w:rFonts w:ascii="Times New Roman" w:hAnsi="Times New Roman"/>
          <w:color w:val="000000"/>
          <w:sz w:val="20"/>
        </w:rPr>
        <w:t>”</w:t>
      </w:r>
      <w:r>
        <w:rPr>
          <w:rFonts w:ascii="Times New Roman" w:hAnsi="Times New Roman"/>
          <w:color w:val="000000"/>
          <w:sz w:val="22"/>
        </w:rPr>
        <w:t xml:space="preserve">), unless such Minimum Tranche Amount is waived by the Administrative Agent. The Administrative Agent and the Lenders hereby consent to the transactions contemplated by this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 xml:space="preserve">(including, for the avoidance of doubt, payment of any interest, fees or premium in respect of any Extended Term Loans and/or Extended Revolving Credit Commitments on such terms as may be set forth in the relevant Extension Offer) and hereby waive the requirements of any provision of this Agreement (including, without limitation, </w:t>
      </w:r>
      <w:r>
        <w:rPr>
          <w:rFonts w:ascii="Times New Roman" w:hAnsi="Times New Roman"/>
          <w:color w:val="000000"/>
          <w:sz w:val="22"/>
          <w:u w:val="single"/>
        </w:rPr>
        <w:t>Sections 2.05</w:t>
      </w:r>
      <w:r>
        <w:rPr>
          <w:rFonts w:ascii="Times New Roman" w:hAnsi="Times New Roman"/>
          <w:color w:val="000000"/>
          <w:sz w:val="22"/>
        </w:rPr>
        <w:t xml:space="preserve">, </w:t>
      </w:r>
      <w:r>
        <w:rPr>
          <w:rFonts w:ascii="Times New Roman" w:hAnsi="Times New Roman"/>
          <w:color w:val="000000"/>
          <w:sz w:val="22"/>
          <w:u w:val="single"/>
        </w:rPr>
        <w:t>2.12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2.13</w:t>
      </w:r>
      <w:r>
        <w:rPr>
          <w:rFonts w:ascii="Times New Roman" w:hAnsi="Times New Roman"/>
          <w:color w:val="000000"/>
          <w:sz w:val="22"/>
        </w:rPr>
        <w:t xml:space="preserve">) or any other Loan Document that may otherwise prohibit any such Extension or any other transaction contemplated by this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No consent of any Lender or the Administrative Agent shall be required to effectuate any Extension, other than (A) the consent of each Lender agreeing to such Extension with respect to one or more of its Term Loans and/or Revolving Credit Commitments (or a portion thereof) and (B) with respect to any Extension of the Revolving Credit Commitments, the consent of the L/C Issuer and the Swing Line Lender (which consent shall not be unreasonably withheld or delayed);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Lender that elects not to agree to such Extension (such Lender being, a “</w:t>
      </w:r>
      <w:r>
        <w:rPr>
          <w:rFonts w:ascii="Times New Roman" w:hAnsi="Times New Roman"/>
          <w:color w:val="000000"/>
          <w:sz w:val="22"/>
          <w:u w:val="single"/>
        </w:rPr>
        <w:t>Non-Extending Lender</w:t>
      </w:r>
      <w:r>
        <w:rPr>
          <w:rFonts w:ascii="Times New Roman" w:hAnsi="Times New Roman"/>
          <w:color w:val="000000"/>
          <w:sz w:val="20"/>
        </w:rPr>
        <w:t>”</w:t>
      </w:r>
      <w:r>
        <w:rPr>
          <w:rFonts w:ascii="Times New Roman" w:hAnsi="Times New Roman"/>
          <w:color w:val="000000"/>
          <w:sz w:val="22"/>
        </w:rPr>
        <w:t xml:space="preserve">) may be replaced by the Borrower pursuant to </w:t>
      </w:r>
      <w:r>
        <w:rPr>
          <w:rFonts w:ascii="Times New Roman" w:hAnsi="Times New Roman"/>
          <w:color w:val="000000"/>
          <w:sz w:val="22"/>
          <w:u w:val="single"/>
        </w:rPr>
        <w:t>Section 3.06</w:t>
      </w:r>
      <w:r>
        <w:rPr>
          <w:rFonts w:ascii="Times New Roman" w:hAnsi="Times New Roman"/>
          <w:color w:val="000000"/>
          <w:sz w:val="22"/>
        </w:rPr>
        <w:t xml:space="preserve">. All Extended Term Loans, Extended Revolving Credit Commitments and all obligations in respect thereof shall be Obligations under this Agreement and the other Loan Documents that are secured by the Collateral on a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 xml:space="preserve">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Classes in respect of Revolving Credit Commitments or Term Loans so extended and such technical amendments as may be necessary or appropriate in the reasonable opinion of the Administrative Agent and the Borrower in connection with the establishment of such new Classes, in each case on terms consistent with this </w:t>
      </w:r>
      <w:r>
        <w:rPr>
          <w:rFonts w:ascii="Times New Roman" w:hAnsi="Times New Roman"/>
          <w:color w:val="000000"/>
          <w:sz w:val="22"/>
          <w:u w:val="single"/>
        </w:rPr>
        <w:t>Section 2.15</w:t>
      </w:r>
      <w:r>
        <w:rPr>
          <w:rFonts w:ascii="Times New Roman" w:hAnsi="Times New Roman"/>
          <w:color w:val="000000"/>
          <w:sz w:val="22"/>
        </w:rPr>
        <w:t>.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2.16 </w:t>
      </w:r>
      <w:r>
        <w:rPr>
          <w:rFonts w:ascii="Times New Roman" w:hAnsi="Times New Roman"/>
          <w:b w:val="false"/>
          <w:color w:val="000000"/>
          <w:sz w:val="22"/>
          <w:u w:val="single"/>
        </w:rPr>
        <w:t>Defaulting Lenders</w:t>
      </w:r>
      <w:r>
        <w:rPr>
          <w:rFonts w:ascii="Times New Roman" w:hAnsi="Times New Roman"/>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The Commitment Fee shall cease to accrue on any of the Revolving Credit Commitments of such Defaulting Lender pursuant to </w:t>
      </w:r>
      <w:r>
        <w:rPr>
          <w:rFonts w:ascii="Times New Roman" w:hAnsi="Times New Roman"/>
          <w:color w:val="000000"/>
          <w:sz w:val="22"/>
          <w:u w:val="single"/>
        </w:rPr>
        <w:t>Section 2.09(a)</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the Commitment, Outstanding Amount of Term Loans and Revolving Credit Exposure of such Defaulting Lender shall not be included in determining whether all Lenders, the Required Lenders or the Required Revolving Credit Lenders have taken or may take any action hereunder (including any consent to any amendment, waiver or other modification pursuant to </w:t>
      </w:r>
      <w:r>
        <w:rPr>
          <w:rFonts w:ascii="Times New Roman" w:hAnsi="Times New Roman"/>
          <w:color w:val="000000"/>
          <w:sz w:val="22"/>
          <w:u w:val="single"/>
        </w:rPr>
        <w:t>Section 10.01</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(x) any waiver, amendment or modification of the type described in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of the first proviso in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 xml:space="preserve">that would apply to the Revolving Credit Commitments or Obligations owing to such Defaulting Lender or (y) any waiver, amendment or modification (other than as described in the forgoing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requiring the consent of all Lenders or each affected Lender) which affects such Defaulting Lender disproportionally when compared to other affected Lenders, in each case, shall require the consent of such Defaulting Lender with respect to the effectiveness of such waiver, amendment or modification with respect to the Revolving Credit Commitments or Obligations owing to such Defaulting Lender;</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any payment of principal, interest, fees or other amounts received by the Administrative Agent for the account of that Defaulting Lender (whether voluntary or mandatory, at maturity, pursuant to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or otherwise), 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that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as the Borrower may request (so long as no Default or Event of Default has occurred and is continuing), to the funding of any Loan in respect of which that Defaulting Lender has failed to fund its portion thereof as required by this Agreement, as determined by the Administrative Agent; </w:t>
      </w:r>
      <w:r>
        <w:rPr>
          <w:rFonts w:ascii="Times New Roman" w:hAnsi="Times New Roman"/>
          <w:color w:val="000000"/>
          <w:sz w:val="22"/>
          <w:u w:val="single"/>
        </w:rPr>
        <w:t>third</w:t>
      </w:r>
      <w:r>
        <w:rPr>
          <w:rFonts w:ascii="Times New Roman" w:hAnsi="Times New Roman"/>
          <w:color w:val="000000"/>
          <w:sz w:val="22"/>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hAnsi="Times New Roman"/>
          <w:color w:val="000000"/>
          <w:sz w:val="22"/>
          <w:u w:val="single"/>
        </w:rPr>
        <w:t>fourth</w:t>
      </w:r>
      <w:r>
        <w:rPr>
          <w:rFonts w:ascii="Times New Roman" w:hAnsi="Times New Roman"/>
          <w:color w:val="000000"/>
          <w:sz w:val="22"/>
        </w:rPr>
        <w:t xml:space="preserve">, so long as no Default or Event of Default has occurred and is continuing,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Times New Roman" w:hAnsi="Times New Roman"/>
          <w:color w:val="000000"/>
          <w:sz w:val="22"/>
          <w:u w:val="single"/>
        </w:rPr>
        <w:t>fifth</w:t>
      </w:r>
      <w:r>
        <w:rPr>
          <w:rFonts w:ascii="Times New Roman" w:hAnsi="Times New Roman"/>
          <w:color w:val="000000"/>
          <w:sz w:val="22"/>
        </w:rPr>
        <w:t xml:space="preserve">, to that Defaulting Lender or as otherwise directed by a court of competent jurisdiction;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payment is a payment of the principal amount of any Loans, such payment shall be applied solely to pay the relevant Loans of the relevant non-Defaulting Lenders on a pro rata basis prior to being applied in the manner set forth in this </w:t>
      </w:r>
      <w:r>
        <w:rPr>
          <w:rFonts w:ascii="Times New Roman" w:hAnsi="Times New Roman"/>
          <w:color w:val="000000"/>
          <w:sz w:val="22"/>
          <w:u w:val="single"/>
        </w:rPr>
        <w:t>clause (c)</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if any Swing Line Obligations or L/C Obligations exist at the time such Lender becomes a Defaulting Lender then:</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all or any part of the Swing Line Obligations or L/C Obligations of such Defaulting Lender shall be reallocated among the non-Defaulting Lenders in accordance with their respective Applicable Percentage but only to the extent that such non-Defaulting Lenders’ Revolving Credit Exposures does not exceed its Revolving Credit Commitments;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if the reallocation described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cannot, or can only partially, be effected, the Borrower shall within three (3) Business Days following notice by the Administrative Agent, </w:t>
      </w:r>
      <w:r>
        <w:rPr>
          <w:rFonts w:ascii="Times New Roman" w:hAnsi="Times New Roman"/>
          <w:color w:val="000000"/>
          <w:sz w:val="22"/>
          <w:u w:val="single"/>
        </w:rPr>
        <w:t>first</w:t>
      </w:r>
      <w:r>
        <w:rPr>
          <w:rFonts w:ascii="Times New Roman" w:hAnsi="Times New Roman"/>
          <w:color w:val="000000"/>
          <w:sz w:val="22"/>
        </w:rPr>
        <w:t xml:space="preserve">, prepay such Swing Line Obligations and, </w:t>
      </w:r>
      <w:r>
        <w:rPr>
          <w:rFonts w:ascii="Times New Roman" w:hAnsi="Times New Roman"/>
          <w:color w:val="000000"/>
          <w:sz w:val="22"/>
          <w:u w:val="single"/>
        </w:rPr>
        <w:t>second</w:t>
      </w:r>
      <w:r>
        <w:rPr>
          <w:rFonts w:ascii="Times New Roman" w:hAnsi="Times New Roman"/>
          <w:color w:val="000000"/>
          <w:sz w:val="22"/>
        </w:rPr>
        <w:t>, Cash Collateralize for the benefit of the L/C Issuer only the Borrower’s obligations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 xml:space="preserve">corresponding to such Defaulting Lender’s L/C Obligations (after giving effect to any partial reallocation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in accordance with the procedures set forth in </w:t>
      </w:r>
      <w:r>
        <w:rPr>
          <w:rFonts w:ascii="Times New Roman" w:hAnsi="Times New Roman"/>
          <w:color w:val="000000"/>
          <w:sz w:val="22"/>
          <w:u w:val="single"/>
        </w:rPr>
        <w:t>Section 2.03(f)</w:t>
      </w:r>
      <w:r>
        <w:rPr>
          <w:rFonts w:ascii="Times New Roman" w:hAnsi="Times New Roman"/>
          <w:color w:val="000000"/>
          <w:sz w:val="20"/>
        </w:rPr>
        <w:t xml:space="preserve"> </w:t>
      </w:r>
      <w:r>
        <w:rPr>
          <w:rFonts w:ascii="Times New Roman" w:hAnsi="Times New Roman"/>
          <w:color w:val="000000"/>
          <w:sz w:val="22"/>
        </w:rPr>
        <w:t>for so long as such L/C Obligations are outstanding;</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if the Borrower Cash Collateralizes any portion of such Defaulting Lender’s L/C Obligations pursuant to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 xml:space="preserve">above, no Borrower shall be required to pay any fees to such Defaulting Lender pursuant to </w:t>
      </w:r>
      <w:r>
        <w:rPr>
          <w:rFonts w:ascii="Times New Roman" w:hAnsi="Times New Roman"/>
          <w:color w:val="000000"/>
          <w:sz w:val="22"/>
          <w:u w:val="single"/>
        </w:rPr>
        <w:t>Section 2.03(h)</w:t>
      </w:r>
      <w:r>
        <w:rPr>
          <w:rFonts w:ascii="Times New Roman" w:hAnsi="Times New Roman"/>
          <w:color w:val="000000"/>
          <w:sz w:val="20"/>
        </w:rPr>
        <w:t xml:space="preserve"> </w:t>
      </w:r>
      <w:r>
        <w:rPr>
          <w:rFonts w:ascii="Times New Roman" w:hAnsi="Times New Roman"/>
          <w:color w:val="000000"/>
          <w:sz w:val="22"/>
        </w:rPr>
        <w:t>with respect to such Defaulting Lender’s L/C Obligations during the period such Defaulting Lender’s L/C Obligations are Cash Collateralized;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if the L/C Obligations of the non-Defaulting Lenders are reallocated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then the fees payable to the Lenders pursuant to </w:t>
      </w:r>
      <w:r>
        <w:rPr>
          <w:rFonts w:ascii="Times New Roman" w:hAnsi="Times New Roman"/>
          <w:color w:val="000000"/>
          <w:sz w:val="22"/>
          <w:u w:val="single"/>
        </w:rPr>
        <w:t>Sections 2.09(a)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2.03(h)</w:t>
      </w:r>
      <w:r>
        <w:rPr>
          <w:rFonts w:ascii="Times New Roman" w:hAnsi="Times New Roman"/>
          <w:color w:val="000000"/>
          <w:sz w:val="20"/>
        </w:rPr>
        <w:t xml:space="preserve"> </w:t>
      </w:r>
      <w:r>
        <w:rPr>
          <w:rFonts w:ascii="Times New Roman" w:hAnsi="Times New Roman"/>
          <w:color w:val="000000"/>
          <w:sz w:val="22"/>
        </w:rPr>
        <w:t>shall be adjusted in accordance with such non-Defaulting Lenders’ Applicable Percentage;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 if all or any portion of such Defaulting Lender’s L/C Obligations is neither reallocated nor Cash Collateralized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above, then, without prejudice to any rights or remedies of the L/C Issuer or any other Lender hereunder, all letter of credit fees payable under </w:t>
      </w:r>
      <w:r>
        <w:rPr>
          <w:rFonts w:ascii="Times New Roman" w:hAnsi="Times New Roman"/>
          <w:color w:val="000000"/>
          <w:sz w:val="22"/>
          <w:u w:val="single"/>
        </w:rPr>
        <w:t>Section 2.03(h)</w:t>
      </w:r>
      <w:r>
        <w:rPr>
          <w:rFonts w:ascii="Times New Roman" w:hAnsi="Times New Roman"/>
          <w:color w:val="000000"/>
          <w:sz w:val="20"/>
        </w:rPr>
        <w:t xml:space="preserve"> </w:t>
      </w:r>
      <w:r>
        <w:rPr>
          <w:rFonts w:ascii="Times New Roman" w:hAnsi="Times New Roman"/>
          <w:color w:val="000000"/>
          <w:sz w:val="22"/>
        </w:rPr>
        <w:t>with respect to such Defaulting Lender’s L/C Obligations shall be payable to the L/C Issuer until and to the extent that such L/C Obligations are reallocated and/or Cash Collateralized;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so long as such Lender is a Defaulting Lender, the Swing Line Lender shall not be required to fund any Swing Line Loan and the L/C Issuer shall not be required to issue, amend or increase any Letter of Credit, unless it has received assurances satisfactory to it that non-Defaulting Lenders will cover the related exposure and/or cash collateral will be provided by the Borrower in accordance with </w:t>
      </w:r>
      <w:r>
        <w:rPr>
          <w:rFonts w:ascii="Times New Roman" w:hAnsi="Times New Roman"/>
          <w:color w:val="000000"/>
          <w:sz w:val="22"/>
          <w:u w:val="single"/>
        </w:rPr>
        <w:t>Section 2.16(d)</w:t>
      </w:r>
      <w:r>
        <w:rPr>
          <w:rFonts w:ascii="Times New Roman" w:hAnsi="Times New Roman"/>
          <w:color w:val="000000"/>
          <w:sz w:val="22"/>
        </w:rPr>
        <w:t xml:space="preserve">, and participating interests in any newly made Swing Line Loan or any newly issued or increased Letter of Credit shall be allocated among non-Defaulting Lenders in a manner consistent with </w:t>
      </w:r>
      <w:r>
        <w:rPr>
          <w:rFonts w:ascii="Times New Roman" w:hAnsi="Times New Roman"/>
          <w:color w:val="000000"/>
          <w:sz w:val="22"/>
          <w:u w:val="single"/>
        </w:rPr>
        <w:t>Section 2.16(d)(i)</w:t>
      </w:r>
      <w:r>
        <w:rPr>
          <w:rFonts w:ascii="Times New Roman" w:hAnsi="Times New Roman"/>
          <w:color w:val="000000"/>
          <w:sz w:val="20"/>
        </w:rPr>
        <w:t xml:space="preserve"> </w:t>
      </w:r>
      <w:r>
        <w:rPr>
          <w:rFonts w:ascii="Times New Roman" w:hAnsi="Times New Roman"/>
          <w:color w:val="000000"/>
          <w:sz w:val="22"/>
        </w:rPr>
        <w:t>(and such Defaulting Lender shall not participate therein).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In the event that the Administrative Agent, the Borrower, the Swing Line Lender and the L/C Issuer each agrees that a Defaulting Lender has adequately remedied all matters that caused such Lender to be a Defaulting Lender, then the Swing Line Obligations and the L/C Obligations of the Revolving Credit Lenders shall be readjusted to reflect the inclusion of such Lender’s Revolving Credit Commitment and on such date such Lender shall purchase at par such of the Revolving Credit Loans of the other Revolving Credit Lenders (other than Swing Line Lenders) as the Administrative Agent shall determine may be necessary in order for such Lender to hold such Revolving Credit Loans in accordance with its Applicable Percentage;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adjustments will be made retroactively with respect to fees accrued or payments made by or on behalf of the Borrower while that Lender was a Defaulting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except to the extent otherwise expressly agreed by the affected parties and subject to </w:t>
      </w:r>
      <w:r>
        <w:rPr>
          <w:rFonts w:ascii="Times New Roman" w:hAnsi="Times New Roman"/>
          <w:color w:val="000000"/>
          <w:sz w:val="22"/>
          <w:u w:val="single"/>
        </w:rPr>
        <w:t>Section 10.24</w:t>
      </w:r>
      <w:r>
        <w:rPr>
          <w:rFonts w:ascii="Times New Roman" w:hAnsi="Times New Roman"/>
          <w:color w:val="000000"/>
          <w:sz w:val="22"/>
        </w:rPr>
        <w:t>, no change hereunder from Defaulting Lender will constitute a waiver or release of any claim of any party hereunder arising from such Lender’s having been a Defaulting Lender.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2.17 </w:t>
      </w:r>
      <w:r>
        <w:rPr>
          <w:rFonts w:ascii="Times New Roman" w:hAnsi="Times New Roman"/>
          <w:b w:val="false"/>
          <w:color w:val="000000"/>
          <w:sz w:val="22"/>
          <w:u w:val="single"/>
        </w:rPr>
        <w:t>Permitted Debt Exchanges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Notwithstanding anything to the contrary contained in this Agreement, pursuant to one or more offers (each, a “</w:t>
      </w:r>
      <w:r>
        <w:rPr>
          <w:rFonts w:ascii="Times New Roman" w:hAnsi="Times New Roman"/>
          <w:color w:val="000000"/>
          <w:sz w:val="22"/>
          <w:u w:val="single"/>
        </w:rPr>
        <w:t>Permitted Debt Exchange Offer</w:t>
      </w:r>
      <w:r>
        <w:rPr>
          <w:rFonts w:ascii="Times New Roman" w:hAnsi="Times New Roman"/>
          <w:color w:val="000000"/>
          <w:sz w:val="20"/>
        </w:rPr>
        <w:t>”</w:t>
      </w:r>
      <w:r>
        <w:rPr>
          <w:rFonts w:ascii="Times New Roman" w:hAnsi="Times New Roman"/>
          <w:color w:val="000000"/>
          <w:sz w:val="22"/>
        </w:rPr>
        <w:t>) made from time to time by the Borrower to all Lenders (other than, with respect to any Permitted Debt Exchange Offer that constitutes an offering of securities, any Lender that, if requested by the Borrower, is unable to certify that it is (i) a “qualified institutional buyer” (as defined in Rule 144A under the Securities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Act), (ii) an institutional “accredited investor” (as defined in Rule 501 under the Securities Act) or (iii) not a “U.S. person” (as defined in Rule 902 under the Securities Act)) with outstanding Term Loans of a particular Class, the Borrower may from time to time consummate one or more exchanges of such Term Loans for Indebtedness (in the form of senior secured, senior unsecured, senior subordinated, or subordinated notes or loans) (such Indebtedness, “</w:t>
      </w:r>
      <w:r>
        <w:rPr>
          <w:rFonts w:ascii="Times New Roman" w:hAnsi="Times New Roman"/>
          <w:color w:val="000000"/>
          <w:sz w:val="22"/>
          <w:u w:val="single"/>
        </w:rPr>
        <w:t>Permitted Debt Exchange Notes</w:t>
      </w:r>
      <w:r>
        <w:rPr>
          <w:rFonts w:ascii="Times New Roman" w:hAnsi="Times New Roman"/>
          <w:color w:val="000000"/>
          <w:sz w:val="20"/>
        </w:rPr>
        <w:t xml:space="preserve">” </w:t>
      </w:r>
      <w:r>
        <w:rPr>
          <w:rFonts w:ascii="Times New Roman" w:hAnsi="Times New Roman"/>
          <w:color w:val="000000"/>
          <w:sz w:val="22"/>
        </w:rPr>
        <w:t>and each such exchange, a “</w:t>
      </w:r>
      <w:r>
        <w:rPr>
          <w:rFonts w:ascii="Times New Roman" w:hAnsi="Times New Roman"/>
          <w:color w:val="000000"/>
          <w:sz w:val="22"/>
          <w:u w:val="single"/>
        </w:rPr>
        <w:t>Permitted Debt Exchange</w:t>
      </w:r>
      <w:r>
        <w:rPr>
          <w:rFonts w:ascii="Times New Roman" w:hAnsi="Times New Roman"/>
          <w:color w:val="000000"/>
          <w:sz w:val="20"/>
        </w:rPr>
        <w:t>”</w:t>
      </w:r>
      <w:r>
        <w:rPr>
          <w:rFonts w:ascii="Times New Roman" w:hAnsi="Times New Roman"/>
          <w:color w:val="000000"/>
          <w:sz w:val="22"/>
        </w:rPr>
        <w:t>), so long as the following conditions are satisfied: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each such Permitted Debt Exchange Offer shall be made on a pro rata basis to the Lenders (other than, with respect to any Permitted Debt Exchange Offer that constitutes an offering of securities, any Lender that, if requested by the Borrower, is unable to certify that it is (i) a “qualified institutional buyer” (as defined in Rule 144A under the Securities Act), (ii) an institutional “accredited investor” (as defined in Rule 501 under the Securities Act) or (iii) not a “U.S. person” (as defined in Rule 902 under the Securities Act)) of each applicable Class based on their respective aggregate principal amounts of outstanding Term Loans under each such Class;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the aggregate principal amount (calculated on the face amount thereof) of such Permitted Debt Exchange Notes shall not exceed the aggregate principal amount (calculated on the face amount thereof) of Term Loans so refinanced, except to the extent a different incurrence basket pursuant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is utilized and with respect to an amount equal to any fees, expenses, commissions, underwriting discounts and premiums payable in connection with such Permitted Debt Exchange;</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(iii) the stated final maturity of such Permitted Debt Exchange Notes is not earlier than the latest Maturity Date for the Class or Classes of Term Loans being exchanged, and such stated final maturity is not subject to any conditions that could result in such stated final maturity occurring on a date that precedes such latest maturity date (it being understood that acceleration or mandatory repayment, prepayment, redemption or repurchase of such Permitted Debt Exchange Notes upon the occurrence of an event of default, a change in control, an event of loss or an asset disposition shall not be deemed to constitute a change in the stated final maturity thereof);</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such Permitted Debt Exchange Notes are not required to be repaid, prepaid, redeemed, repurchased or defeased, whether on one or more fixed dates, upon the occurrence of one or more events or at the option of any holder thereof (except, in each case, upon the occurrence of an event of default, a change in control, an event of loss or an asset disposition) prior to the latest Maturity Date for the Class or Classes of Term Loans being exchanged,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the foregoing, scheduled amortization payments (however denominated, including scheduled offers to repurchase) of such Permitted Debt Exchange Notes shall be permitted so long as the Weighted Average Life to Maturity of such Indebtedness shall be longer than the remaining Weighted Average Life to Maturity of the Class or Classes of Term Loans being exchanged;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 no Restricted Subsidiary is a borrower or guarantor with respect to such Indebtedness unless such Restricted Subsidiary is or substantially concurrently becomes a Loan Party;</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 if such Permitted Debt Exchange Notes are secured, such Permitted Debt Exchange Notes are secured on a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basis or junior priority basis to the Obligations and (A) such Permitted Debt Exchange Notes are not secured by any assets not securing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color w:val="000000"/>
          <w:sz w:val="22"/>
        </w:rPr>
      </w:pPr>
      <w:r>
        <w:rPr>
          <w:rFonts w:ascii="Times New Roman" w:hAnsi="Times New Roman"/>
          <w:color w:val="000000"/>
          <w:sz w:val="22"/>
        </w:rPr>
        <w:t>the Obligations unless such assets substantially concurrently secure the Obligations and (B) the beneficiaries thereof (or an agent on their behalf) shall have entered into an Acceptable Intercreditor Agreement;</w:t>
      </w:r>
    </w:p>
    <w:p>
      <w:pPr>
        <w:pStyle w:val="TextBody"/>
        <w:bidi w:val="0"/>
        <w:spacing w:before="0" w:after="240"/>
        <w:ind w:left="1440" w:right="0" w:firstLine="720"/>
        <w:jc w:val="both"/>
        <w:rPr>
          <w:rFonts w:ascii="Times New Roman" w:hAnsi="Times New Roman"/>
          <w:sz w:val="20"/>
        </w:rPr>
      </w:pPr>
      <w:bookmarkStart w:id="49" w:name="docxtextref1044"/>
      <w:bookmarkEnd w:id="49"/>
      <w:r>
        <w:rPr>
          <w:rFonts w:ascii="Times New Roman" w:hAnsi="Times New Roman"/>
          <w:color w:val="000000"/>
          <w:sz w:val="22"/>
        </w:rPr>
        <w:t xml:space="preserve">(vii) the terms and conditions of such Permitted Debt Exchange Notes (excluding pricing and optional prepayment or redemption terms and except as permitted by </w:t>
      </w:r>
      <w:r>
        <w:rPr>
          <w:rFonts w:ascii="Times New Roman" w:hAnsi="Times New Roman"/>
          <w:color w:val="000000"/>
          <w:sz w:val="22"/>
          <w:u w:val="single"/>
        </w:rPr>
        <w:t>clause (iii)</w:t>
      </w:r>
      <w:r>
        <w:rPr>
          <w:rFonts w:ascii="Times New Roman" w:hAnsi="Times New Roman"/>
          <w:color w:val="000000"/>
          <w:sz w:val="22"/>
        </w:rPr>
        <w:t>, above) shall either (A)</w:t>
      </w:r>
      <w:r>
        <w:rPr>
          <w:rFonts w:ascii="Times New Roman" w:hAnsi="Times New Roman"/>
          <w:color w:val="000000"/>
          <w:sz w:val="20"/>
        </w:rPr>
        <w:t xml:space="preserve"> </w:t>
      </w:r>
      <w:r>
        <w:rPr>
          <w:rFonts w:ascii="Times New Roman" w:hAnsi="Times New Roman"/>
          <w:color w:val="000000"/>
          <w:sz w:val="22"/>
        </w:rPr>
        <w:t xml:space="preserve">not be materially more restrictive to the Borrower (as reasonably determined by the Borrower in good faith), when taken as a whole, than the terms and conditions set forth in this Agreement (it being understood that such terms or conditions may be more restrictive than the terms and conditions set forth in this Agreement if the Lenders receive the benefit of such terms or conditions through amendment or supplementation of this Agreement or to the extent such terms or conditions apply solely to periods following the Latest Maturity Date) or </w:t>
      </w:r>
      <w:bookmarkStart w:id="50" w:name="docxtextref1045"/>
      <w:bookmarkEnd w:id="5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be reasonably satisfactory to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all Permitted Debt Exchange Notes that are secured by Liens on the Collateral ranking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Liens securing the Obligations (other than high yield securities that are distributed through a customary Rule 144A offering to investors pursuant to an offering memorandum) shall be subject to the MFN Adjustment;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(viii) all Term Loans exchanged under each applicable Class by the Borrower pursuant to any Permitted Debt Exchange shall automatically be cancelled and retired by the Borrower on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 for immediate cancellation), and accrued and unpaid interest on such Term Loans shall be paid to the exchanging Lenders on the date of consummation of such Permitted Debt Exchange, or, if agreed to by the Borrower and the Administrative Agent, the next scheduled Interest Payment Date with respect to such Term Loans (with such interest accruing until the date of consummation of such Permitted Debt Exchange);</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(ix) if the aggregate principal amount of all Term Loans (calculated on the face amount thereof) of a given Class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under the relevant Class tendered by such Lenders ratably up to such maximum based on the respective principal amounts so tendered, or, if such Permitted Debt Exchange Offer shall have been made with respect to multiple Classes without specifying a maximum aggregate principal amount offered to be exchanged for each Class, and the aggregate principal amount of all Term Loans (calculated on the face amount thereof) of all Classes tendered by Lenders in respect of the relevant Permitted Debt Exchange Offer (with no Lender being permitted to tender a principal amount of Term Loans which exceeds the principal amount thereof actually held by it) shall exceed the maximum aggregate principal amount of Term Loans of all relevant Classes offered to be exchanged by the Borrower pursuant to such Permitted Debt Exchange Offer, then the Borrower shall exchange Term Loans across all Classes subject to such Permitted Debt Exchange Offer tendered by such Lenders ratably up to such maximum amount based on the respective principal amounts so tendered;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(x)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Administrative Agent;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(xi) no Permitted Debt Exchange Notes may be subject to mandatory prepayments on a greater than pro rata basis with the Term Loans; and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(xii) any applicable Minimum Tender Condition or Maximum Tender Condition, as the case may be, shall be satisfied or waived by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no Lender shall have any obligation to agree to have any of its Loans or Commitments exchanged pursuant to any Permitted Debt Exchange Offer.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With respect to all Permitted Debt Exchanges effected by the Borrower pursuant to this </w:t>
      </w:r>
      <w:r>
        <w:rPr>
          <w:rFonts w:ascii="Times New Roman" w:hAnsi="Times New Roman"/>
          <w:color w:val="000000"/>
          <w:sz w:val="22"/>
          <w:u w:val="single"/>
        </w:rPr>
        <w:t>Section 2.17</w:t>
      </w:r>
      <w:r>
        <w:rPr>
          <w:rFonts w:ascii="Times New Roman" w:hAnsi="Times New Roman"/>
          <w:color w:val="000000"/>
          <w:sz w:val="22"/>
        </w:rPr>
        <w:t xml:space="preserve">, such Permitted Debt Exchange Offer shall be made for not less than $10,000,000 in aggregate principal amount of Term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subject to the foregoing the Borrower may at its election specify (A) as a condition (a “</w:t>
      </w:r>
      <w:r>
        <w:rPr>
          <w:rFonts w:ascii="Times New Roman" w:hAnsi="Times New Roman"/>
          <w:color w:val="000000"/>
          <w:sz w:val="22"/>
          <w:u w:val="single"/>
        </w:rPr>
        <w:t>Minimum Tender Condition</w:t>
      </w:r>
      <w:r>
        <w:rPr>
          <w:rFonts w:ascii="Times New Roman" w:hAnsi="Times New Roman"/>
          <w:color w:val="000000"/>
          <w:sz w:val="20"/>
        </w:rPr>
        <w:t>”</w:t>
      </w:r>
      <w:r>
        <w:rPr>
          <w:rFonts w:ascii="Times New Roman" w:hAnsi="Times New Roman"/>
          <w:color w:val="000000"/>
          <w:sz w:val="22"/>
        </w:rPr>
        <w:t>) to consummating any such Permitted Debt Exchange that a minimum amount (to be determined and specified in the relevant Permitted Debt Exchange Offer in the Borrower’s discretion) of Term Loans of any or all applicable Classes be tendered and/or (B) as a condition (a “</w:t>
      </w:r>
      <w:r>
        <w:rPr>
          <w:rFonts w:ascii="Times New Roman" w:hAnsi="Times New Roman"/>
          <w:color w:val="000000"/>
          <w:sz w:val="22"/>
          <w:u w:val="single"/>
        </w:rPr>
        <w:t>Maximum Tender Condition</w:t>
      </w:r>
      <w:r>
        <w:rPr>
          <w:rFonts w:ascii="Times New Roman" w:hAnsi="Times New Roman"/>
          <w:color w:val="000000"/>
          <w:sz w:val="20"/>
        </w:rPr>
        <w:t>”</w:t>
      </w:r>
      <w:r>
        <w:rPr>
          <w:rFonts w:ascii="Times New Roman" w:hAnsi="Times New Roman"/>
          <w:color w:val="000000"/>
          <w:sz w:val="22"/>
        </w:rPr>
        <w:t xml:space="preserve">) to consummating any such Permitted Debt Exchange that no more than a maximum amount (to be determined and specified in the relevant Permitted Debt Exchange Offer in the Borrower’s discretion) of Term Loans of any or all applicable Classes will be accepted for exchange. The Administrative Agent and the Lenders hereby acknowledge and agree that the provisions of </w:t>
      </w:r>
      <w:r>
        <w:rPr>
          <w:rFonts w:ascii="Times New Roman" w:hAnsi="Times New Roman"/>
          <w:color w:val="000000"/>
          <w:sz w:val="22"/>
          <w:u w:val="single"/>
        </w:rPr>
        <w:t>Sections 2.05</w:t>
      </w:r>
      <w:r>
        <w:rPr>
          <w:rFonts w:ascii="Times New Roman" w:hAnsi="Times New Roman"/>
          <w:color w:val="000000"/>
          <w:sz w:val="22"/>
        </w:rPr>
        <w:t xml:space="preserve">, </w:t>
      </w:r>
      <w:r>
        <w:rPr>
          <w:rFonts w:ascii="Times New Roman" w:hAnsi="Times New Roman"/>
          <w:color w:val="000000"/>
          <w:sz w:val="22"/>
          <w:u w:val="single"/>
        </w:rPr>
        <w:t>2.06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2.13</w:t>
      </w:r>
      <w:r>
        <w:rPr>
          <w:rFonts w:ascii="Times New Roman" w:hAnsi="Times New Roman"/>
          <w:color w:val="000000"/>
          <w:sz w:val="20"/>
        </w:rPr>
        <w:t xml:space="preserve"> </w:t>
      </w:r>
      <w:r>
        <w:rPr>
          <w:rFonts w:ascii="Times New Roman" w:hAnsi="Times New Roman"/>
          <w:color w:val="000000"/>
          <w:sz w:val="22"/>
        </w:rPr>
        <w:t xml:space="preserve">do not apply to the Permitted Debt Exchange and the other transactions contemplated by this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and hereby agree not to assert any Default or Event of Default in connection with the implementation of any such Permitted Debt Exchange or any other transaction contemplated by this </w:t>
      </w:r>
      <w:r>
        <w:rPr>
          <w:rFonts w:ascii="Times New Roman" w:hAnsi="Times New Roman"/>
          <w:color w:val="000000"/>
          <w:sz w:val="22"/>
          <w:u w:val="single"/>
        </w:rPr>
        <w:t>Section 2.17</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In connection with each Permitted Debt Exchange, the Borrower shall provide the Administrative Agent at least five (5) Business Days’ (or such shorter period as may be agreed by the Administrative Agent) prior written notice thereof, and the Borrower and the Administrative Agent, acting reasonably, shall mutually agree to such procedures as may be necessary or advisable to accomplish the purposes of this </w:t>
      </w:r>
      <w:r>
        <w:rPr>
          <w:rFonts w:ascii="Times New Roman" w:hAnsi="Times New Roman"/>
          <w:color w:val="000000"/>
          <w:sz w:val="22"/>
          <w:u w:val="single"/>
        </w:rPr>
        <w:t>Section 2.17</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 The Borrower shall provide the final results of such Permitted Debt Exchange to the Administrative Agent no later than three (3) Business Days prior to the proposed date of effectiveness for such Permitted Debt Exchange (or such shorter period agreed to by the Administrative Agent in its sole discretion) and the Administrative Agent shall be entitled to conclusively rely on such results.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The Borrower shall be responsible for compliance with, and hereby agree to comply with, all applicable securities and other laws in connection with each Permitted Debt Exchange, it being understood and agreed that (i) neither the Administrative Agent nor any Lender assumes any responsibility in connection with the Borrower’s compliance with such laws in connection with any Permitted Debt Exchange and (ii) each Lender shall be solely responsible for its compliance with any applicable “insider trading” laws and regulations to which such Lender may be subject under the Exchange Act.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2.18 </w:t>
      </w:r>
      <w:r>
        <w:rPr>
          <w:rFonts w:ascii="Times New Roman" w:hAnsi="Times New Roman"/>
          <w:b w:val="false"/>
          <w:color w:val="000000"/>
          <w:sz w:val="22"/>
          <w:u w:val="single"/>
        </w:rPr>
        <w:t>Loan Account</w:t>
      </w:r>
      <w:r>
        <w:rPr>
          <w:rFonts w:ascii="Times New Roman" w:hAnsi="Times New Roman"/>
          <w:b w:val="false"/>
          <w:color w:val="000000"/>
          <w:sz w:val="22"/>
        </w:rPr>
        <w:t>. The Administrative Agent shall maintain an account on its books in the name of the Borrower (the “Loan Account”) on which the Borrower will be charged with the Term Loans made to it, all Revolving Loans made by the Administrative Agent or the Lenders to it or for its account, the Letters of Credit issued or arranged by L/C Issuer for its account, and with all of its other payment Obligations hereunder or under the other Loan Documents, including, accrued interest, fees and expenses, and all of its other payment obligations hereunder. The Borrower hereby authorizes Administrative Agent, from time to time without prior notice to the Borrower, to charge to the Loan Account, as and when due and payable all of its payment obligations payable under any Loan Document or any agreement in respect of Cash Management Obligations or Secured Hedge Agreements. All amounts (including interest, fees, costs, expenses, or other amounts payable hereunder or under any other Loan Document or under any agreement in respect of Cash Management Obligations or Secured Hedge Agreements) charged to the Loan Account (excluding Lender Group Expenses) shall thereupon constitute Revolving Loans hereunder, shall constitute Obligations hereunder, and shall initially accrue interest at the rate then applicable to Revolving Loans that are Base Rate Loans (unless and until converted into SOFR Loans in accordance with the terms of this Agreement). In accordance with Section 2.12, each Loan Account will be credited with all payments received by the Administrative Agent from the Borrower or for the Borrower’s account. The Administrative Agent shall make available to the Borrower monthly statements regarding the Loan Account, including the principal amount of the Term Loan and the Revolving Loans, interest accrued hereunder, fees accrued or charged hereunder or under the other Loan Documents, and a summary itemization of all charges and expenses accrued hereunder or under the other Loan Documents, and each such statement, absent manifest error, shall be conclusively presumed to be correct and accurate and constitute an account stated between each Borrower and the Administrative Agent, L/C Issuer and the Lenders unless, within 30 days after the Administrative Agent first makes such a statement available to the Borrower, the Borrower shall deliver to the Administrative Agent written objection thereto describing the error or errors contained in such statement.</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III</w:t>
      </w:r>
      <w:r>
        <w:rPr>
          <w:rFonts w:ascii="Times New Roman" w:hAnsi="Times New Roman"/>
          <w:b w:val="false"/>
          <w:color w:val="000000"/>
          <w:sz w:val="22"/>
          <w:u w:val="single"/>
        </w:rPr>
        <w:br/>
        <w:br/>
        <w:t>Taxes, Increased Costs Protection and Illegality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3.01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Except as provided in this </w:t>
      </w:r>
      <w:r>
        <w:rPr>
          <w:rFonts w:ascii="Times New Roman" w:hAnsi="Times New Roman"/>
          <w:color w:val="000000"/>
          <w:sz w:val="22"/>
          <w:u w:val="single"/>
        </w:rPr>
        <w:t>Section 3.01</w:t>
      </w:r>
      <w:r>
        <w:rPr>
          <w:rFonts w:ascii="Times New Roman" w:hAnsi="Times New Roman"/>
          <w:color w:val="000000"/>
          <w:sz w:val="22"/>
        </w:rPr>
        <w:t xml:space="preserve">, any and all payments by the Borrower (the term Borrower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being deemed to include any Subsidiary for whose account a Letter of Credit is issued) or any Guarantor to or for the account of any Recipient under any Loan Document shall be made free and clear of and without deduction for any Taxes unless required by applicable Law. If any applicable withholding agent shall be required by any Laws to deduct or withhold any Taxes from or in respect of any sum payable under any Loan Document to a Recipient, (i) if such Taxes are Indemnified Taxes, the sum payable by the Borrower or applicable Guarantor shall be increased as necessary so that after all required deductions have been made (including deductions applicable to additional sums payable under this </w:t>
      </w:r>
      <w:r>
        <w:rPr>
          <w:rFonts w:ascii="Times New Roman" w:hAnsi="Times New Roman"/>
          <w:color w:val="000000"/>
          <w:sz w:val="22"/>
          <w:u w:val="single"/>
        </w:rPr>
        <w:t>Section 3.01</w:t>
      </w:r>
      <w:r>
        <w:rPr>
          <w:rFonts w:ascii="Times New Roman" w:hAnsi="Times New Roman"/>
          <w:color w:val="000000"/>
          <w:sz w:val="22"/>
        </w:rPr>
        <w:t>), such Recipient receives an amount equal to the sum it would have received had no such deductions been made, (ii) such applicable withholding agent shall make such deductions or withholdings, (iii) such applicable withholding agent shall pay the full amount deducted to the relevant taxation authority or other authority in accordance with applicable Laws, and (iv) within thirty (30) days after the date of such payment by such applicable withholding agent (or, if receipts or evidence are not available within thirty (30) days, as soon as reasonably possible thereafter), such applicable withholding agent shall furnish to Borrower and such Recipient (as the case may be) the original or a facsimile copy of a receipt evidencing payment thereof to the extent such a receipt is issued therefor, or other written proof of payment thereof that is reasonably satisfactory to Borrower and such Recipient (as the case may be).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In addition, but without duplication of any amounts payable pursuant to </w:t>
      </w:r>
      <w:r>
        <w:rPr>
          <w:rFonts w:ascii="Times New Roman" w:hAnsi="Times New Roman"/>
          <w:color w:val="000000"/>
          <w:sz w:val="22"/>
          <w:u w:val="single"/>
        </w:rPr>
        <w:t>Section 3.01(a)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2"/>
        </w:rPr>
        <w:t>, the Loan Parties agree to pay all Other Taxes or, at the option of the Administrative Agent, the Loan Parties agree to reimburse the Administrative Agent for all Other Taxes.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Without duplication of any amounts payable pursuant to </w:t>
      </w:r>
      <w:r>
        <w:rPr>
          <w:rFonts w:ascii="Times New Roman" w:hAnsi="Times New Roman"/>
          <w:color w:val="000000"/>
          <w:sz w:val="22"/>
          <w:u w:val="single"/>
        </w:rPr>
        <w:t>Section 3.01(a)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3.01(b)</w:t>
      </w:r>
      <w:r>
        <w:rPr>
          <w:rFonts w:ascii="Times New Roman" w:hAnsi="Times New Roman"/>
          <w:color w:val="000000"/>
          <w:sz w:val="22"/>
        </w:rPr>
        <w:t xml:space="preserve">, the Loan Parties agree to indemnify each Recipient for (i) the full amount of Indemnified Taxes (including any Indemnified Taxes imposed or asserted by any jurisdiction in respect of amounts payable under this </w:t>
      </w:r>
      <w:r>
        <w:rPr>
          <w:rFonts w:ascii="Times New Roman" w:hAnsi="Times New Roman"/>
          <w:color w:val="000000"/>
          <w:sz w:val="22"/>
          <w:u w:val="single"/>
        </w:rPr>
        <w:t>Section 3.01</w:t>
      </w:r>
      <w:r>
        <w:rPr>
          <w:rFonts w:ascii="Times New Roman" w:hAnsi="Times New Roman"/>
          <w:color w:val="000000"/>
          <w:sz w:val="22"/>
        </w:rPr>
        <w:t xml:space="preserve">) payable by such Recipient and (ii) any reasonable expenses arising therefrom or with respect thereto, in each case whether or not such Indemnified Taxes were correctly or legally imposed or asserted by the relevant Governmental Authority. Such Recipient, as the case may be, will, at the Borrower’s request, provide the Borrower with a written statement thereof setting forth in reasonable detail the basis and calculation of such amounts which shall be conclusive absent manifest error. Payment under this </w:t>
      </w:r>
      <w:r>
        <w:rPr>
          <w:rFonts w:ascii="Times New Roman" w:hAnsi="Times New Roman"/>
          <w:color w:val="000000"/>
          <w:sz w:val="22"/>
          <w:u w:val="single"/>
        </w:rPr>
        <w:t>Section 3.01(c)</w:t>
      </w:r>
      <w:r>
        <w:rPr>
          <w:rFonts w:ascii="Times New Roman" w:hAnsi="Times New Roman"/>
          <w:color w:val="000000"/>
          <w:sz w:val="20"/>
        </w:rPr>
        <w:t xml:space="preserve"> </w:t>
      </w:r>
      <w:r>
        <w:rPr>
          <w:rFonts w:ascii="Times New Roman" w:hAnsi="Times New Roman"/>
          <w:color w:val="000000"/>
          <w:sz w:val="22"/>
        </w:rPr>
        <w:t>shall be made within ten (10) days after the date such Recipient makes a demand therefor.</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If any Recipient determines, in its sole discretion exercised in good faith, that it has received a refund in respect of any Indemnified Taxes as to which indemnification have been paid to it by the Borrower or any Guarantor pursuant to this Section 3.01 (including by the payment of additional amounts pursuant to this Section), it shall promptly remit an amount equal to such refund as soon as practicable after it is determined that such refund pertains to Indemnified Taxes (but only to the extent of indemnity payments made under this Section 3.01 with respect to the Indemnified Taxes giving rise to such refund, net of all reasonable out-of-pocket expenses (including any Taxes) of such Recipient, as the case may be and without interest (other than any interest paid by the relevant taxing authority with respect to such refund); provided, that, the Borrower, upon the request of the Recipient, as the case may be, agrees to return an amount equal to such refund (plus any applicable interest, additions to tax or penalties) to such party in the event such party is required to repay such refund to the relevant taxing authority. Notwithstanding anything to the contrary in this paragraph (d), in no event will a Recipient be required to pay any amount to the Borrower pursuant to this paragraph (d)the payment of which would place such Recipient in a less favorable net after</w:t>
        <w:noBreakHyphen/>
        <w:t>Tax position than such Recipient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Recipient to make available its Tax returns (or any other information relating to its Taxes that it deems confidential) to any Person.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Each Lender agrees that, upon the occurrence of any event giving rise to the operation of </w:t>
      </w:r>
      <w:r>
        <w:rPr>
          <w:rFonts w:ascii="Times New Roman" w:hAnsi="Times New Roman"/>
          <w:color w:val="000000"/>
          <w:sz w:val="22"/>
          <w:u w:val="single"/>
        </w:rPr>
        <w:t>Section 3.01(a)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with respect to such Lender it will, if requested by the Borrower, use commercially reasonable efforts (subject to legal and regulatory restrictions), at the Borrower’s expense, to designate another Applicable Lending Office for any Loan or Letter of Credit affected by such event;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efforts are made on terms that, in the judgment of such Lender, cause such Lender and its Applicable Lending Office(s) to suffer no economic, legal, regulatory or commercial disadvantage, and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 xml:space="preserve">shall affect or postpone any of the Obligations of the Borrower or the rights of such Lender pursuant to </w:t>
      </w:r>
      <w:r>
        <w:rPr>
          <w:rFonts w:ascii="Times New Roman" w:hAnsi="Times New Roman"/>
          <w:color w:val="000000"/>
          <w:sz w:val="22"/>
          <w:u w:val="single"/>
        </w:rPr>
        <w:t>Section 3.01(a)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(f) Each Lender shall, at such times as are reasonably requested by the Borrower or the Administrative Agent, provide the Borrower and the Administrative Agent with any documentation prescribed by applicable Law, or reasonably requested by the Borrower or the Administrative Agent, certifying as to any entitlement of such Lender to an exemption from, or reduction in, any withholding Tax with respect to any payments to be made to such Lender under any Loan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Document. Each such Lender shall, whenever a lapse in time or change in circumstances renders such documentation (including any documentation specifically referenced below) expired, obsolete or inaccurate in any material respect, deliver promptly to the Borrower and the Administrative Agent updated or other appropriate documentation (including any new documentation reasonably requested by the applicable withholding agent) or promptly notify the Borrower and the Administrative Agent in writing of its inability to do so.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paragraphs (f)(i)</w:t>
      </w:r>
      <w:r>
        <w:rPr>
          <w:rFonts w:ascii="Times New Roman" w:hAnsi="Times New Roman"/>
          <w:color w:val="000000"/>
          <w:sz w:val="22"/>
        </w:rPr>
        <w:t xml:space="preserve">,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(iii)</w:t>
      </w:r>
      <w:r>
        <w:rPr>
          <w:rFonts w:ascii="Times New Roman" w:hAnsi="Times New Roman"/>
          <w:color w:val="000000"/>
          <w:sz w:val="20"/>
        </w:rPr>
        <w:t xml:space="preserve"> </w:t>
      </w:r>
      <w:r>
        <w:rPr>
          <w:rFonts w:ascii="Times New Roman" w:hAnsi="Times New Roman"/>
          <w:color w:val="000000"/>
          <w:sz w:val="22"/>
        </w:rPr>
        <w:t>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Without limiting the generality of the foregoing:</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Each Lender that is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two properly completed and duly signed copies of Internal Revenue Service Form W-9 (or any successor form) certifying that such Lender is exempt from U.S. federal backup withholding;</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Each Lender that is not a “United States person” (as defined in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(A) two (2) properly completed and duly signed copies of Internal Revenue Service Form W-8BEN or W-8BEN-E, as applicable (or any successor forms) claiming eligibility for benefits of an income tax treaty to which the United States is a party,</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(B) two (2) properly completed and duly signed copies of Internal Revenue Service Form W-8ECI (or any successor forms) in the case of a Lender claiming an exemption from withholding Tax for income that is effectively connected with a U.S. trade or business,</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(C) in the case of a Lender claiming the benefits of the exemption for portfolio interest under Section 881(c) or the Code, (x) a certificate, in substantially the form of </w:t>
      </w:r>
      <w:r>
        <w:rPr>
          <w:rFonts w:ascii="Times New Roman" w:hAnsi="Times New Roman"/>
          <w:color w:val="000000"/>
          <w:sz w:val="22"/>
          <w:u w:val="single"/>
        </w:rPr>
        <w:t>Exhibit L</w:t>
      </w:r>
      <w:r>
        <w:rPr>
          <w:rFonts w:ascii="Times New Roman" w:hAnsi="Times New Roman"/>
          <w:color w:val="000000"/>
          <w:sz w:val="20"/>
        </w:rPr>
        <w:t xml:space="preserve"> </w:t>
      </w:r>
      <w:r>
        <w:rPr>
          <w:rFonts w:ascii="Times New Roman" w:hAnsi="Times New Roman"/>
          <w:color w:val="000000"/>
          <w:sz w:val="22"/>
        </w:rPr>
        <w:t>(any such certificate a “</w:t>
      </w:r>
      <w:r>
        <w:rPr>
          <w:rFonts w:ascii="Times New Roman" w:hAnsi="Times New Roman"/>
          <w:color w:val="000000"/>
          <w:sz w:val="22"/>
          <w:u w:val="single"/>
        </w:rPr>
        <w:t>United States Tax Compliance Certificate</w:t>
      </w:r>
      <w:r>
        <w:rPr>
          <w:rFonts w:ascii="Times New Roman" w:hAnsi="Times New Roman"/>
          <w:color w:val="000000"/>
          <w:sz w:val="20"/>
        </w:rPr>
        <w:t>”</w:t>
      </w:r>
      <w:r>
        <w:rPr>
          <w:rFonts w:ascii="Times New Roman" w:hAnsi="Times New Roman"/>
          <w:color w:val="000000"/>
          <w:sz w:val="22"/>
        </w:rPr>
        <w:t>), or any other form approved by the Administrative Agent and Borrower, to the effect that such Lender is not (A) a “bank” within the meaning of Section 881(c)(3)(A) of the Code, (B) a “10 percent shareholder” of the Borrower within the meaning of Section 871(h)(3)(B) of the Code or (C) a “controlled foreign corporation” described in Section 881(c)(3)(C) of the Code and that no payments in connection with the Loan Documents are effectively connected with such Lender’s conduct of a U.S. trade or business, and (y) two (2) properly completed and duly signed copies of Internal Revenue Service Form W-8BEN or W-8BEN-E, as applicable (or any successor forms),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(D) to the extent a Lender is not the beneficial owner (for example, where the Lender is a partnership), two (2) properly completed and duly signed copies of Internal Revenue Service Form W-8IMY (or any successor forms) of the Lender, accompanied by a Form W-8ECI, W-8BEN or W-8BEN-E, as applicable (or any successor forms), a United States Tax Compliance Certificate, Form W-9, Form W-8IMY (or other successor forms) or any other required information from each beneficial owner,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Lender is a partnership and one or more direct or indirect partners are claiming the portfolio interest exemption, the United States Tax Compliance Certificate may be provided by such Lender on behalf of such direct or indirect partner(s)), or</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(E) to the extent it is legally entitled to do so, (in such number of copies as shall be requested by the recipient),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w:t>
      </w:r>
      <w:r>
        <w:rPr>
          <w:rFonts w:ascii="Times New Roman" w:hAnsi="Times New Roman"/>
          <w:color w:val="000000"/>
          <w:sz w:val="22"/>
          <w:u w:val="single"/>
        </w:rPr>
        <w:t>Section 3.01(f)(iii)</w:t>
      </w:r>
      <w:r>
        <w:rPr>
          <w:rFonts w:ascii="Times New Roman" w:hAnsi="Times New Roman"/>
          <w:color w:val="000000"/>
          <w:sz w:val="22"/>
        </w:rPr>
        <w:t>, “FATCA” shall include any amendments made to FATCA after the date of this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color w:val="000000"/>
          <w:sz w:val="22"/>
          <w:u w:val="single"/>
        </w:rPr>
        <w:t>Section 3.01(f)</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The Administrative Agent (as well as any person receiving any payment on behalf of the Administrative Agent pursuant to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9.13</w:t>
      </w:r>
      <w:r>
        <w:rPr>
          <w:rFonts w:ascii="Times New Roman" w:hAnsi="Times New Roman"/>
          <w:color w:val="000000"/>
          <w:sz w:val="22"/>
        </w:rPr>
        <w:t>) shall provide the Borrower,</w:t>
      </w:r>
      <w:r>
        <w:rPr>
          <w:rFonts w:ascii="Times New Roman" w:hAnsi="Times New Roman"/>
          <w:color w:val="000000"/>
          <w:sz w:val="20"/>
        </w:rPr>
        <w:t xml:space="preserve"> </w:t>
      </w:r>
      <w:r>
        <w:rPr>
          <w:rFonts w:ascii="Times New Roman" w:hAnsi="Times New Roman"/>
          <w:color w:val="000000"/>
          <w:sz w:val="22"/>
        </w:rPr>
        <w:t>on or before the date on which such Administrative Agent becomes an Administrative Agent hereunder or under any other Loan Document (and from time to time thereafter upon the reasonable request of the Borrower),</w:t>
      </w:r>
      <w:r>
        <w:rPr>
          <w:rFonts w:ascii="Times New Roman" w:hAnsi="Times New Roman"/>
          <w:color w:val="000000"/>
          <w:sz w:val="20"/>
        </w:rPr>
        <w:t xml:space="preserve"> </w:t>
      </w:r>
      <w:r>
        <w:rPr>
          <w:rFonts w:ascii="Times New Roman" w:hAnsi="Times New Roman"/>
          <w:color w:val="000000"/>
          <w:sz w:val="22"/>
        </w:rPr>
        <w:t>with two (2) properly completed and duly signed copies of, (i) in the case of an Administrative Agent that is a United States person (as defined in Section 7701(a)(30) of the Code), Internal Revenue Service Form W-9 certifying that it is exempt from U.S. federal backup withholding or (ii) in the case of an Administrative Agent that is not a U.S. Person, (x) with respect to payments received for the account of a Lender, IRS Form W-8IMY evidencing the Administrative Agent’s agreement to be treated as a United States person for U.S. federal withholding tax purposes and assuming primary responsibility for U.S. federal income tax withholding and (y) with respect to payments received for the Administrative Agent’s own account, IRS Form W-8ECI. If any documentation previously delivered by the Administrative Agent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expires or becomes obsolete or inaccurate in any respect, the Administrative Agent shall update such documentation or promptly notify the Borrower in writing of its legal inability to do so.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For the avoidance of doubt, the term “Lender” shall, for purposes of this </w:t>
      </w:r>
      <w:r>
        <w:rPr>
          <w:rFonts w:ascii="Times New Roman" w:hAnsi="Times New Roman"/>
          <w:color w:val="000000"/>
          <w:sz w:val="22"/>
          <w:u w:val="single"/>
        </w:rPr>
        <w:t>Section 3.01</w:t>
      </w:r>
      <w:r>
        <w:rPr>
          <w:rFonts w:ascii="Times New Roman" w:hAnsi="Times New Roman"/>
          <w:color w:val="000000"/>
          <w:sz w:val="22"/>
        </w:rPr>
        <w:t>, include any L/C Issuer and any Swing Line Lender and “applicable law” includes FATCA.</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Each party’s obligations under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3.02 </w:t>
      </w:r>
      <w:r>
        <w:rPr>
          <w:rFonts w:ascii="Times New Roman" w:hAnsi="Times New Roman"/>
          <w:b w:val="false"/>
          <w:color w:val="000000"/>
          <w:sz w:val="22"/>
          <w:u w:val="single"/>
        </w:rPr>
        <w:t>Inability to Determine Rates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Subject to clauses (b) through (f) of this Section 3.02, if the Administrative Agent or the Required Lenders determine that for any reason adequate and reasonable means do not exist for determining the Adjusted Term SOFR Rate or the Term SOFR for any requested Interest Period with respect to a proposed SOFR Loan denominated in any currency, or the Required Lenders (excluding for all purposes of this Section 3.02 only, the portion of the Total Outstandings and unused Commitments that are not available for Loans in such currency) determine that the Adjusted Term SOFR Rate or the Term SOFR for any Interest Period with respect to such proposed SOFR Loan does not adequately and fairly reflect the cost to such Lenders of funding such Loan, or that deposits in the currency of such SOFR Loan are not being offered to banks in the applicable London or other relevant interbank market for the applicable amount and the Interest Period of such SOFR Loan, the Administrative Agent will promptly so notify the Borrower and each Lender. Thereafter, the obligation of the Lenders to make or maintain SOFR Loans in such currency shall be suspended until the Administrative Agent (upon the instruction of the Required Lenders) revokes such notice. Upon receipt of such notice, the Borrower may revoke any pending request for a Borrowing of, conversion to or continuation of SOFR Loans or, failing that, will be deemed to have converted such request into a request for a Borrowing of Base Rate Loans in the amount specified therein.</w:t>
      </w:r>
    </w:p>
    <w:p>
      <w:pPr>
        <w:pStyle w:val="TextBody"/>
        <w:bidi w:val="0"/>
        <w:spacing w:before="0" w:after="240"/>
        <w:ind w:left="720" w:right="0" w:firstLine="720"/>
        <w:jc w:val="both"/>
        <w:rPr>
          <w:rFonts w:ascii="Times New Roman" w:hAnsi="Times New Roman"/>
          <w:sz w:val="20"/>
        </w:rPr>
      </w:pPr>
      <w:bookmarkStart w:id="51" w:name="docxtextref486"/>
      <w:bookmarkEnd w:id="51"/>
      <w:r>
        <w:rPr>
          <w:rFonts w:ascii="Times New Roman" w:hAnsi="Times New Roman"/>
          <w:color w:val="000000"/>
          <w:sz w:val="22"/>
        </w:rPr>
        <w:t>(b) Notwithstanding anything to the contrary herein or in any other Loan Document, if a Benchmark Transition Event and its related Benchmark Replacement Date have occurred prior to the Reference Time in respect of any setting of the then-current Benchmark, then (x)</w:t>
      </w:r>
      <w:r>
        <w:rPr>
          <w:rFonts w:ascii="Times New Roman" w:hAnsi="Times New Roman"/>
          <w:color w:val="000000"/>
          <w:sz w:val="20"/>
        </w:rPr>
        <w:t xml:space="preserve"> </w:t>
      </w:r>
      <w:r>
        <w:rPr>
          <w:rFonts w:ascii="Times New Roman" w:hAnsi="Times New Roman"/>
          <w:color w:val="000000"/>
          <w:sz w:val="22"/>
        </w:rPr>
        <w:t xml:space="preserve">if a Benchmark Replacement is determined in accordance with </w:t>
      </w:r>
      <w:bookmarkStart w:id="52" w:name="docxtextref489"/>
      <w:bookmarkEnd w:id="52"/>
      <w:r>
        <w:rPr>
          <w:rFonts w:ascii="Times New Roman" w:hAnsi="Times New Roman"/>
          <w:color w:val="000000"/>
          <w:sz w:val="22"/>
        </w:rPr>
        <w:t>clause (1)</w:t>
      </w:r>
      <w:r>
        <w:rPr>
          <w:rFonts w:ascii="Times New Roman" w:hAnsi="Times New Roman"/>
          <w:color w:val="000000"/>
          <w:sz w:val="2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w:t>
      </w:r>
      <w:bookmarkStart w:id="53" w:name="docxtextref487"/>
      <w:bookmarkEnd w:id="53"/>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 xml:space="preserve">if a Benchmark Replacement is determined in accordance with </w:t>
      </w:r>
      <w:bookmarkStart w:id="54" w:name="docxtextref490"/>
      <w:bookmarkEnd w:id="54"/>
      <w:r>
        <w:rPr>
          <w:rFonts w:ascii="Times New Roman" w:hAnsi="Times New Roman"/>
          <w:color w:val="000000"/>
          <w:sz w:val="22"/>
        </w:rPr>
        <w:t>clause (2)</w:t>
      </w:r>
      <w:r>
        <w:rPr>
          <w:rFonts w:ascii="Times New Roman" w:hAnsi="Times New Roman"/>
          <w:color w:val="000000"/>
          <w:sz w:val="20"/>
        </w:rPr>
        <w:t xml:space="preserve"> </w:t>
      </w:r>
      <w:r>
        <w:rPr>
          <w:rFonts w:ascii="Times New Roman" w:hAnsi="Times New Roman"/>
          <w:color w:val="000000"/>
          <w:sz w:val="22"/>
        </w:rPr>
        <w:t>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(c) Notwithstanding anything to the contrary herein or in any other Loan Document, the Administrative Agent will have the right to make Benchmark Replacement Conforming Changes from time to time and, notwithstanding anything to the contrary herein or in any other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Loan Document, any amendments implementing such Benchmark Replacement Conforming Changes will become effective following consultation with the Borrower without any further action or consent of any other party to this Agreement or any other Loan Document.</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bookmarkStart w:id="55" w:name="docxtextref494"/>
      <w:bookmarkEnd w:id="55"/>
      <w:r>
        <w:rPr>
          <w:rFonts w:ascii="Times New Roman" w:hAnsi="Times New Roman"/>
          <w:color w:val="000000"/>
          <w:sz w:val="22"/>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w:t>
      </w:r>
      <w:r>
        <w:rPr>
          <w:rFonts w:ascii="Times New Roman" w:hAnsi="Times New Roman"/>
          <w:color w:val="000000"/>
          <w:sz w:val="20"/>
        </w:rPr>
        <w:t xml:space="preserve"> </w:t>
      </w:r>
      <w:r>
        <w:rPr>
          <w:rFonts w:ascii="Times New Roman" w:hAnsi="Times New Roman"/>
          <w:color w:val="000000"/>
          <w:sz w:val="22"/>
        </w:rPr>
        <w:t>below and (v) the commencement or conclusion of any Benchmark Unavailability Period. Any determination, decision or election that may be made by the Administrative Agent or, if applicable, any Lender (or group of Lenders) pursuant to this Section 3.02,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3.02.</w:t>
      </w:r>
    </w:p>
    <w:p>
      <w:pPr>
        <w:pStyle w:val="TextBody"/>
        <w:bidi w:val="0"/>
        <w:spacing w:before="0" w:after="240"/>
        <w:ind w:left="720" w:right="0" w:firstLine="720"/>
        <w:jc w:val="both"/>
        <w:rPr>
          <w:rFonts w:ascii="Times New Roman" w:hAnsi="Times New Roman"/>
          <w:sz w:val="20"/>
        </w:rPr>
      </w:pPr>
      <w:bookmarkStart w:id="56" w:name="docxtextref495"/>
      <w:bookmarkEnd w:id="56"/>
      <w:r>
        <w:rPr>
          <w:rFonts w:ascii="Times New Roman" w:hAnsi="Times New Roman"/>
          <w:color w:val="000000"/>
          <w:sz w:val="22"/>
        </w:rPr>
        <w:t>(e) 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w:t>
      </w:r>
      <w:r>
        <w:rPr>
          <w:rFonts w:ascii="Times New Roman" w:hAnsi="Times New Roman"/>
          <w:color w:val="000000"/>
          <w:sz w:val="20"/>
        </w:rPr>
        <w:t xml:space="preserve"> </w:t>
      </w:r>
      <w:r>
        <w:rPr>
          <w:rFonts w:ascii="Times New Roman" w:hAnsi="Times New Roman"/>
          <w:color w:val="000000"/>
          <w:sz w:val="22"/>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Base Rate Borrowing.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the Base Rate. Furthermore, if any Term Benchmark Loan is outstanding on the date of the Borrower’s receipt of notice of the commencement of a Benchmark Unavailability Period, then until such time as a Benchmark Replacement is implemented pursuant to this Section 3.02, any Term Benchmark Loan shall on the last day of the Interest Period applicable to such Loan (or the next succeeding Business Day if such day is not a Business Day), be converted by the Administrative Agent to, and shall constitute, a Base Rate Loan.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3.03 </w:t>
      </w:r>
      <w:r>
        <w:rPr>
          <w:rFonts w:ascii="Times New Roman" w:hAnsi="Times New Roman"/>
          <w:b w:val="false"/>
          <w:color w:val="000000"/>
          <w:sz w:val="22"/>
          <w:u w:val="single"/>
        </w:rPr>
        <w:t>Increased Cost and Reduced Return; Capital Adequacy; Reserves on SOFR Loans</w:t>
      </w:r>
      <w:r>
        <w:rPr>
          <w:rFonts w:ascii="Times New Roman" w:hAnsi="Times New Roman"/>
          <w:b w:val="false"/>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If any Lender determines that as a result of any Change in Law, or such Lender’s compliance therewith, there shall be any increase in the cost to such Lender of agreeing to make or making, funding or maintaining any Loan or issuing or participating in Letters of Credit, or a reduction in the amount received or receivable by such Lender in connection with any of the foregoing including as a result of Taxes (excluding for purposes of this </w:t>
      </w:r>
      <w:r>
        <w:rPr>
          <w:rFonts w:ascii="Times New Roman" w:hAnsi="Times New Roman"/>
          <w:color w:val="000000"/>
          <w:sz w:val="22"/>
          <w:u w:val="single"/>
        </w:rPr>
        <w:t>Section 3.03(a)</w:t>
      </w:r>
      <w:r>
        <w:rPr>
          <w:rFonts w:ascii="Times New Roman" w:hAnsi="Times New Roman"/>
          <w:color w:val="000000"/>
          <w:sz w:val="20"/>
        </w:rPr>
        <w:t xml:space="preserve"> </w:t>
      </w:r>
      <w:r>
        <w:rPr>
          <w:rFonts w:ascii="Times New Roman" w:hAnsi="Times New Roman"/>
          <w:color w:val="000000"/>
          <w:sz w:val="22"/>
        </w:rPr>
        <w:t xml:space="preserve">any such increased costs or reduction in amount resulting from (i) Indemnified Taxes or Other Taxes indemnifiable under </w:t>
      </w:r>
      <w:r>
        <w:rPr>
          <w:rFonts w:ascii="Times New Roman" w:hAnsi="Times New Roman"/>
          <w:color w:val="000000"/>
          <w:sz w:val="22"/>
          <w:u w:val="single"/>
        </w:rPr>
        <w:t>Section 3.01</w:t>
      </w:r>
      <w:r>
        <w:rPr>
          <w:rFonts w:ascii="Times New Roman" w:hAnsi="Times New Roman"/>
          <w:color w:val="000000"/>
          <w:sz w:val="22"/>
        </w:rPr>
        <w:t xml:space="preserve">, (ii) Excluded Taxes or (iii) reserve requirements contemplated by </w:t>
      </w:r>
      <w:r>
        <w:rPr>
          <w:rFonts w:ascii="Times New Roman" w:hAnsi="Times New Roman"/>
          <w:color w:val="000000"/>
          <w:sz w:val="22"/>
          <w:u w:val="single"/>
        </w:rPr>
        <w:t>Section 3.03(c)</w:t>
      </w:r>
      <w:r>
        <w:rPr>
          <w:rFonts w:ascii="Times New Roman" w:hAnsi="Times New Roman"/>
          <w:color w:val="000000"/>
          <w:sz w:val="22"/>
        </w:rPr>
        <w:t xml:space="preserve">), then from time to time within fifteen (15) days after demand by such Lender setting forth in reasonable detail such increased costs (with a copy of such demand to the Administrative Agent given in accordance with </w:t>
      </w:r>
      <w:r>
        <w:rPr>
          <w:rFonts w:ascii="Times New Roman" w:hAnsi="Times New Roman"/>
          <w:color w:val="000000"/>
          <w:sz w:val="22"/>
          <w:u w:val="single"/>
        </w:rPr>
        <w:t>Section 3.05</w:t>
      </w:r>
      <w:r>
        <w:rPr>
          <w:rFonts w:ascii="Times New Roman" w:hAnsi="Times New Roman"/>
          <w:color w:val="000000"/>
          <w:sz w:val="22"/>
        </w:rPr>
        <w:t xml:space="preserve">), the Borrower shall pay to such Lender such additional amounts as will compensate such Lender for such increased cost or reduction;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Lender will only be compensated for such amounts that would have otherwise been imposed under the applicable increased cost provisions and only to the extent the applicable Lender is imposing such charges on other similarly situated borrowers under comparable syndicated credit facilities.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If any Lender determines that as a result of any Change in Law regarding capital adequacy or any change therein or in the interpretation thereof, in each case after the date hereof, or compliance by such Lender (or its Applicable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from time to time upon demand of such Lender setting forth in reasonable detail the charge and the calculation of such reduced rate of return (with a copy of such demand to the Administrative Agent given in accordance with </w:t>
      </w:r>
      <w:r>
        <w:rPr>
          <w:rFonts w:ascii="Times New Roman" w:hAnsi="Times New Roman"/>
          <w:color w:val="000000"/>
          <w:sz w:val="22"/>
          <w:u w:val="single"/>
        </w:rPr>
        <w:t>Section 3.05</w:t>
      </w:r>
      <w:r>
        <w:rPr>
          <w:rFonts w:ascii="Times New Roman" w:hAnsi="Times New Roman"/>
          <w:color w:val="000000"/>
          <w:sz w:val="22"/>
        </w:rPr>
        <w:t>), the Borrower shall pay to such Lender such additional amounts as will compensate such Lender for such reduction within fifteen (15) days after receipt of such demand.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The Borrower shall pay to each Lender, (i) as long as such Lender shall be required to maintain reserves with respect to liabilities or assets consisting of or including Term SOFR funds or deposits (except any such reserve requirement reflected in the Adjusted Term SOFR Rate), additional interest on the unpaid principal amount of each SOFR Loan equal to the actual costs of such reserves allocated to such Loan by such Lender (as determined by such Lender in good faith, which determination shall be conclusive in the absence of demonstrable error), and (ii) as long as such Lender shall be required to comply with any reserve ratio requirement or analogous requirement of any other central banking or financial regulatory authority imposed in respect of the maintenance of the Commitments or the funding of the SOFR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demonstrable error) which in each case shall be due and payable on each date on which interest is payable on such Loan,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Borrower shall have received at least fifteen (15) days’ prior notice (with a copy to the Administrative Agent) of such additional interest or cost from such Lender. If a Lender fails to give notice fifteen (15) days prior to the relevant Interest Payment Date, such additional interest or cost shall be due and payable fifteen (15) days after receipt of such notice.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Subject to </w:t>
      </w:r>
      <w:r>
        <w:rPr>
          <w:rFonts w:ascii="Times New Roman" w:hAnsi="Times New Roman"/>
          <w:color w:val="000000"/>
          <w:sz w:val="22"/>
          <w:u w:val="single"/>
        </w:rPr>
        <w:t>Section 3.05(b)</w:t>
      </w:r>
      <w:r>
        <w:rPr>
          <w:rFonts w:ascii="Times New Roman" w:hAnsi="Times New Roman"/>
          <w:color w:val="000000"/>
          <w:sz w:val="22"/>
        </w:rPr>
        <w:t xml:space="preserve">, failure or delay on the part of any Lender to demand compensation pursuant to this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shall not constitute a waiver of such Lender’s right to demand such compensation.</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If any Lender requests compensation under this </w:t>
      </w:r>
      <w:r>
        <w:rPr>
          <w:rFonts w:ascii="Times New Roman" w:hAnsi="Times New Roman"/>
          <w:color w:val="000000"/>
          <w:sz w:val="22"/>
          <w:u w:val="single"/>
        </w:rPr>
        <w:t>Section 3.03</w:t>
      </w:r>
      <w:r>
        <w:rPr>
          <w:rFonts w:ascii="Times New Roman" w:hAnsi="Times New Roman"/>
          <w:color w:val="000000"/>
          <w:sz w:val="22"/>
        </w:rPr>
        <w:t xml:space="preserve">, then such Lender will, if requested by the Borrower, use commercially reasonable efforts to designate another Applicable Lending Office for any Loan or Letter of Credit affected by such event;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efforts are made on terms that, in the reasonable judgment of such Lender, cause such Lender and its Applicable Lending Office(s) to suffer no material economic, legal or regulatory disadvantage;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nothing in this </w:t>
      </w:r>
      <w:r>
        <w:rPr>
          <w:rFonts w:ascii="Times New Roman" w:hAnsi="Times New Roman"/>
          <w:color w:val="000000"/>
          <w:sz w:val="22"/>
          <w:u w:val="single"/>
        </w:rPr>
        <w:t>Section 3.03(e)</w:t>
      </w:r>
      <w:r>
        <w:rPr>
          <w:rFonts w:ascii="Times New Roman" w:hAnsi="Times New Roman"/>
          <w:color w:val="000000"/>
          <w:sz w:val="20"/>
        </w:rPr>
        <w:t xml:space="preserve"> </w:t>
      </w:r>
      <w:r>
        <w:rPr>
          <w:rFonts w:ascii="Times New Roman" w:hAnsi="Times New Roman"/>
          <w:color w:val="000000"/>
          <w:sz w:val="22"/>
        </w:rPr>
        <w:t xml:space="preserve">shall affect or postpone any of the Obligations of the Borrower or the rights of such Lender pursuant to </w:t>
      </w:r>
      <w:r>
        <w:rPr>
          <w:rFonts w:ascii="Times New Roman" w:hAnsi="Times New Roman"/>
          <w:color w:val="000000"/>
          <w:sz w:val="22"/>
          <w:u w:val="single"/>
        </w:rPr>
        <w:t>Section 3.03(a)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3.04 </w:t>
      </w:r>
      <w:r>
        <w:rPr>
          <w:rFonts w:ascii="Times New Roman" w:hAnsi="Times New Roman"/>
          <w:b w:val="false"/>
          <w:color w:val="000000"/>
          <w:sz w:val="22"/>
          <w:u w:val="single"/>
        </w:rPr>
        <w:t>Funding Losses</w:t>
      </w:r>
      <w:r>
        <w:rPr>
          <w:rFonts w:ascii="Times New Roman" w:hAnsi="Times New Roman"/>
          <w:b w:val="false"/>
          <w:color w:val="000000"/>
          <w:sz w:val="22"/>
        </w:rPr>
        <w:t>. 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any continuation, conversion, payment or prepayment of any SOFR Loan on a day other than the last day of the Interest Period for such Loan; or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any failure by the Borrower (for a reason other than the failure of such Lender to make a Loan) to prepay, borrow, continue or convert any Loan (other than a Base Rate Loan) on the date or in the amount notified by the Borrower;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including any loss or expense arising from the liquidation or reemployment of funds obtained by it to maintain such Loan or from fees payable to terminate the deposits from which such funds were obtained.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A certificate of any Lender setting forth any amount or amounts that such Lender is entitled to receive pursuant to this Section 2.15 shall be delivered to the Borrower and shall be conclusive absent manifest error.</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3.05 </w:t>
      </w:r>
      <w:r>
        <w:rPr>
          <w:rFonts w:ascii="Times New Roman" w:hAnsi="Times New Roman"/>
          <w:b w:val="false"/>
          <w:color w:val="000000"/>
          <w:sz w:val="22"/>
          <w:u w:val="single"/>
        </w:rPr>
        <w:t>Matters Applicable to All Requests for Compensation</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Any Agent or any Lender claiming compensation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shall deliver a certificate to the Borrower setting forth the additional amount or amounts to be paid to it hereunder which shall be conclusive in the absence of demonstrable error. In determining such amount, such Agent or such Lender may use any reasonable averaging and attribution methods.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With respect to any Lender’s claim for compensation under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3.04</w:t>
      </w:r>
      <w:r>
        <w:rPr>
          <w:rFonts w:ascii="Times New Roman" w:hAnsi="Times New Roman"/>
          <w:color w:val="000000"/>
          <w:sz w:val="22"/>
        </w:rPr>
        <w:t xml:space="preserve">, the Borrower shall not be required to compensate such Lender for any amount incurred more than one hundred and eighty (180) days prior to the date that such Lender notifies the Borrower of the event that gives rise to such claim;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circumstance giving rise to such claim is retroactive, then such 180-day period referred to above shall be extended to include the period of retroactive effect thereof. If any Lender requests compensation by the Borrower under </w:t>
      </w:r>
      <w:r>
        <w:rPr>
          <w:rFonts w:ascii="Times New Roman" w:hAnsi="Times New Roman"/>
          <w:color w:val="000000"/>
          <w:sz w:val="22"/>
          <w:u w:val="single"/>
        </w:rPr>
        <w:t>Section 3.03</w:t>
      </w:r>
      <w:r>
        <w:rPr>
          <w:rFonts w:ascii="Times New Roman" w:hAnsi="Times New Roman"/>
          <w:color w:val="000000"/>
          <w:sz w:val="22"/>
        </w:rPr>
        <w:t xml:space="preserve">, the Borrower may, by notice to such Lender (with a copy to the Administrative Agent), suspend the obligation of such Lender to make or continue SOFR Loans from one Interest Period to another, or to convert Base Rate Loans into SOFR Loans, until the event or condition giving rise to such request ceases to be in effect (in which case the provisions of </w:t>
      </w:r>
      <w:r>
        <w:rPr>
          <w:rFonts w:ascii="Times New Roman" w:hAnsi="Times New Roman"/>
          <w:color w:val="000000"/>
          <w:sz w:val="22"/>
          <w:u w:val="single"/>
        </w:rPr>
        <w:t>Section 3.05(c)</w:t>
      </w:r>
      <w:r>
        <w:rPr>
          <w:rFonts w:ascii="Times New Roman" w:hAnsi="Times New Roman"/>
          <w:color w:val="000000"/>
          <w:sz w:val="20"/>
        </w:rPr>
        <w:t xml:space="preserve"> </w:t>
      </w:r>
      <w:r>
        <w:rPr>
          <w:rFonts w:ascii="Times New Roman" w:hAnsi="Times New Roman"/>
          <w:color w:val="000000"/>
          <w:sz w:val="22"/>
        </w:rPr>
        <w:t xml:space="preserve">shall be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suspension shall not affect the right of such Lender to receive the compensation so requested.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If the obligation of any Lender to make or continue any SOFR Loan from one Interest Period to another, or to convert Base Rate Loans into SOFR Loans shall, to the extent denominated in Dollars, be suspended pursuant to </w:t>
      </w:r>
      <w:r>
        <w:rPr>
          <w:rFonts w:ascii="Times New Roman" w:hAnsi="Times New Roman"/>
          <w:color w:val="000000"/>
          <w:sz w:val="22"/>
          <w:u w:val="single"/>
        </w:rPr>
        <w:t>Section 3.05(b)</w:t>
      </w:r>
      <w:r>
        <w:rPr>
          <w:rFonts w:ascii="Times New Roman" w:hAnsi="Times New Roman"/>
          <w:color w:val="000000"/>
          <w:sz w:val="20"/>
        </w:rPr>
        <w:t xml:space="preserve"> </w:t>
      </w:r>
      <w:r>
        <w:rPr>
          <w:rFonts w:ascii="Times New Roman" w:hAnsi="Times New Roman"/>
          <w:color w:val="000000"/>
          <w:sz w:val="22"/>
        </w:rPr>
        <w:t>hereof, such Lender’s SOFR Loans shall be automatically converted into Base Rate Loans on the last day(s) of the then current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Interest Period(s) for such SOFR Loans (or, in the case of an immediate conversion required by </w:t>
      </w:r>
      <w:r>
        <w:rPr>
          <w:rFonts w:ascii="Times New Roman" w:hAnsi="Times New Roman"/>
          <w:color w:val="000000"/>
          <w:sz w:val="22"/>
          <w:u w:val="single"/>
        </w:rPr>
        <w:t>Section 3.02</w:t>
      </w:r>
      <w:r>
        <w:rPr>
          <w:rFonts w:ascii="Times New Roman" w:hAnsi="Times New Roman"/>
          <w:color w:val="000000"/>
          <w:sz w:val="22"/>
        </w:rPr>
        <w:t xml:space="preserve">, on such earlier date as required by Law) and, unless and until such Lender gives notice as provided below that the circumstances specified in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hereof that gave rise to such conversion no longer exist: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to the extent that such Lender’s SOFR Loans have been so converted, all payments and prepayments of principal that would otherwise be applied to such Lender’s SOFR Loans shall be applied instead to its Base Rate Loans; and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all Loans that would otherwise be made or continued from one Interest Period to another by such Lender as SOFR Loans, to the extent denominated in Dollars, shall be made or continued instead as Base Rate Loans, and all Base Rate Loans of such Lender that would otherwise be converted into SOFR Loans shall remain as Base Rate Loans.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If any Lender gives notice to the Borrower (with a copy to the Administrative Agent) that the circumstances specified in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Section 3.02</w:t>
      </w:r>
      <w:r>
        <w:rPr>
          <w:rFonts w:ascii="Times New Roman" w:hAnsi="Times New Roman"/>
          <w:color w:val="000000"/>
          <w:sz w:val="22"/>
        </w:rPr>
        <w:t xml:space="preserve">,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 xml:space="preserve">hereof that gave rise to the conversion of such Lender’s SOFR Loans denominated in Dollars pursuant to this </w:t>
      </w:r>
      <w:r>
        <w:rPr>
          <w:rFonts w:ascii="Times New Roman" w:hAnsi="Times New Roman"/>
          <w:color w:val="000000"/>
          <w:sz w:val="22"/>
          <w:u w:val="single"/>
        </w:rPr>
        <w:t>Section 3.05</w:t>
      </w:r>
      <w:r>
        <w:rPr>
          <w:rFonts w:ascii="Times New Roman" w:hAnsi="Times New Roman"/>
          <w:color w:val="000000"/>
          <w:sz w:val="20"/>
        </w:rPr>
        <w:t xml:space="preserve"> </w:t>
      </w:r>
      <w:r>
        <w:rPr>
          <w:rFonts w:ascii="Times New Roman" w:hAnsi="Times New Roman"/>
          <w:color w:val="000000"/>
          <w:sz w:val="22"/>
        </w:rPr>
        <w:t>no longer exist (which such Lender agrees to do promptly upon such circumstances ceasing to exist) at a time when SOFR Loans made by other Lenders are outstanding, such Lender’s Base Rate Loans shall be automatically converted to SOFR Loans, on the first day(s) of the next succeeding Interest Period(s) for such outstanding SOFR Loans, to the extent necessary so that, after giving effect thereto, all Loans held by the Lenders holding SOFR Loans and by such Lender are held pro rata (as to principal amounts, interest rate basis, and Interest Periods) in accordance with their respective principal amount of Commitments.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3.06 </w:t>
      </w:r>
      <w:r>
        <w:rPr>
          <w:rFonts w:ascii="Times New Roman" w:hAnsi="Times New Roman"/>
          <w:b w:val="false"/>
          <w:color w:val="000000"/>
          <w:sz w:val="22"/>
          <w:u w:val="single"/>
        </w:rPr>
        <w:t>Replacement of Lenders under Certain Circumstances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If at any time (i) any Lender requests reimbursement for amounts owing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as a result of any condition described in such Sections and Lender has declined or is unable to designate a different lending office in accordance with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 xml:space="preserve">or any Lender ceases to make SOFR Loans as a result of any condition described in </w:t>
      </w:r>
      <w:r>
        <w:rPr>
          <w:rFonts w:ascii="Times New Roman" w:hAnsi="Times New Roman"/>
          <w:color w:val="000000"/>
          <w:sz w:val="22"/>
          <w:u w:val="single"/>
        </w:rPr>
        <w:t>Section 3.02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3.03</w:t>
      </w:r>
      <w:r>
        <w:rPr>
          <w:rFonts w:ascii="Times New Roman" w:hAnsi="Times New Roman"/>
          <w:color w:val="000000"/>
          <w:sz w:val="22"/>
        </w:rPr>
        <w:t xml:space="preserve">, (ii) any Lender becomes a Defaulting Lender, (iii) any Lender becomes a Non-Consenting Lender or (iv) any Lender becomes a Non-Extending Lender, then the Borrower may, on prior written notice to the Administrative Agent and such Lender, replace, repay (on a non-pro-rata basis) and/or terminate the Commitments of such Lender by requiring such Lender to (and such Lender shall be obligated to) assign pursuant to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 xml:space="preserve">(with the assignment fee to be paid by the Borrower in such instance) all of its rights and obligations under this Agreement (or, with respect to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clause (iv)</w:t>
      </w:r>
      <w:r>
        <w:rPr>
          <w:rFonts w:ascii="Times New Roman" w:hAnsi="Times New Roman"/>
          <w:color w:val="000000"/>
          <w:sz w:val="20"/>
        </w:rPr>
        <w:t xml:space="preserve"> </w:t>
      </w:r>
      <w:r>
        <w:rPr>
          <w:rFonts w:ascii="Times New Roman" w:hAnsi="Times New Roman"/>
          <w:color w:val="000000"/>
          <w:sz w:val="22"/>
        </w:rPr>
        <w:t>above, all of its rights and obligations with respect to the Class of Loans or Commitments that is the subject of the related consent, waiver or amendment) to one or more Eligible Assignees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neither the Administrative Agent nor any Lender shall have any obligation to the Borrower to find a replacement Lender or other such Person; and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in the case of any such assignment resulting from a claim for compensation under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 xml:space="preserve">or payments required to be made pursuant to </w:t>
      </w:r>
      <w:r>
        <w:rPr>
          <w:rFonts w:ascii="Times New Roman" w:hAnsi="Times New Roman"/>
          <w:color w:val="000000"/>
          <w:sz w:val="22"/>
          <w:u w:val="single"/>
        </w:rPr>
        <w:t>Section 3.01</w:t>
      </w:r>
      <w:r>
        <w:rPr>
          <w:rFonts w:ascii="Times New Roman" w:hAnsi="Times New Roman"/>
          <w:color w:val="000000"/>
          <w:sz w:val="22"/>
        </w:rPr>
        <w:t>, such assignment will result in a reduction in such compensation or payments and (B) in the case of any such assignment resulting from a Lender becoming a Non-Consenting Lender or a Non-Extending Lender, the applicable Eligible Assignees shall have agreed to the applicable departure, waiver or amendment of the Loan Documents).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Any Lender being replaced, repaid (on a non-pro-rata basis) or whose Commitments are being terminated pursuant to </w:t>
      </w:r>
      <w:r>
        <w:rPr>
          <w:rFonts w:ascii="Times New Roman" w:hAnsi="Times New Roman"/>
          <w:color w:val="000000"/>
          <w:sz w:val="22"/>
          <w:u w:val="single"/>
        </w:rPr>
        <w:t>Section 3.06(a)</w:t>
      </w:r>
      <w:r>
        <w:rPr>
          <w:rFonts w:ascii="Times New Roman" w:hAnsi="Times New Roman"/>
          <w:color w:val="000000"/>
          <w:sz w:val="20"/>
        </w:rPr>
        <w:t xml:space="preserve"> </w:t>
      </w:r>
      <w:r>
        <w:rPr>
          <w:rFonts w:ascii="Times New Roman" w:hAnsi="Times New Roman"/>
          <w:color w:val="000000"/>
          <w:sz w:val="22"/>
        </w:rPr>
        <w:t>above shall (i) execute and deliver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an Assignment and Assumption with respect to such Lender’s Commitment and outstanding Loans and participations in L/C Obligations and Swing Line Loans, as applicable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failure of any such Lender to execute an Assignment and Assumption shall not render such assignment invalid and such assignment shall be recorded in the Register), and (ii) deliver Notes, if any, evidencing such Loans to the Borrower or Administrative Agent. Pursuant to such Assignment and Assumption, (A) the assignee Lender shall acquire all or a portion, as the case may be, of the assigning Lender’s Commitments and outstanding Loans and participations in L/C Obligations and Swing Line Loans, (B) all obligations of the Loan Parties owing to the assigning Lender relating to the Loan Documents and participations so assigned shall be paid in full by the assignee Lender or the Loan Parties (as applicable) to such assigning Lender concurrently with such assignment and assumption, any amounts owing to the assigning Lender (other than a Defaulting Lender) under </w:t>
      </w:r>
      <w:r>
        <w:rPr>
          <w:rFonts w:ascii="Times New Roman" w:hAnsi="Times New Roman"/>
          <w:color w:val="000000"/>
          <w:sz w:val="22"/>
          <w:u w:val="single"/>
        </w:rPr>
        <w:t>Section 3.04</w:t>
      </w:r>
      <w:r>
        <w:rPr>
          <w:rFonts w:ascii="Times New Roman" w:hAnsi="Times New Roman"/>
          <w:color w:val="000000"/>
          <w:sz w:val="20"/>
        </w:rPr>
        <w:t xml:space="preserve"> </w:t>
      </w:r>
      <w:r>
        <w:rPr>
          <w:rFonts w:ascii="Times New Roman" w:hAnsi="Times New Roman"/>
          <w:color w:val="000000"/>
          <w:sz w:val="22"/>
        </w:rPr>
        <w:t>as a consequence of such assignment</w:t>
      </w:r>
      <w:r>
        <w:rPr>
          <w:rFonts w:ascii="Times New Roman" w:hAnsi="Times New Roman"/>
          <w:color w:val="000000"/>
          <w:sz w:val="22"/>
          <w:u w:val="single"/>
        </w:rPr>
        <w:t>)</w:t>
      </w:r>
      <w:r>
        <w:rPr>
          <w:rFonts w:ascii="Times New Roman" w:hAnsi="Times New Roman"/>
          <w:color w:val="000000"/>
          <w:sz w:val="22"/>
        </w:rPr>
        <w:t>, and (C) upon such payment and, if so requested by the assignee Lender, the assignor Lender shall deliver to the assignee Lender the appropriate Notes executed by the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Notwithstanding anything to the contrary contained above, any Lender that acts as an L/C Issuer may not be replaced hereunder at any time that it has any Letter of Credit outstanding hereunder unless arrangements reasonably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each such outstanding Letter of Credit and the Lender that acts as the Administrative Agent may not be replaced hereunder except in accordance with the terms of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In the event that (i) the Borrower or the Administrative Agent have requested that the Lenders consent to a departure or waiver of any provisions of the Loan Documents or agree to any amendment thereto, (ii) the consent, waiver or amendment in question requires the agreement of all affected Lenders in accordance with the terms of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or all the Lenders with respect to a certain Class of the Loans and (iii) the Required Lenders or Required Revolving Credit Lenders, as applicable, have agreed to such consent, waiver or amendment, then any Lender who does not agree to such consent, waiver or amendment shall be deemed a “</w:t>
      </w:r>
      <w:r>
        <w:rPr>
          <w:rFonts w:ascii="Times New Roman" w:hAnsi="Times New Roman"/>
          <w:color w:val="000000"/>
          <w:sz w:val="22"/>
          <w:u w:val="single"/>
        </w:rPr>
        <w:t>Non-Consenting Lender</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Notwithstanding anything herein to the contrary, each party hereto agrees that any assignment pursuant to the terms of this </w:t>
      </w:r>
      <w:r>
        <w:rPr>
          <w:rFonts w:ascii="Times New Roman" w:hAnsi="Times New Roman"/>
          <w:color w:val="000000"/>
          <w:sz w:val="22"/>
          <w:u w:val="single"/>
        </w:rPr>
        <w:t>Section 3.06</w:t>
      </w:r>
      <w:r>
        <w:rPr>
          <w:rFonts w:ascii="Times New Roman" w:hAnsi="Times New Roman"/>
          <w:color w:val="000000"/>
          <w:sz w:val="20"/>
        </w:rPr>
        <w:t xml:space="preserve"> </w:t>
      </w:r>
      <w:r>
        <w:rPr>
          <w:rFonts w:ascii="Times New Roman" w:hAnsi="Times New Roman"/>
          <w:color w:val="000000"/>
          <w:sz w:val="22"/>
        </w:rPr>
        <w:t>may be effected pursuant to an Assignment and Assumption executed by the Borrower, the Administrative Agent and the assignee and that the Lender making such assignment need not be a party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3.07 </w:t>
      </w:r>
      <w:r>
        <w:rPr>
          <w:rFonts w:ascii="Times New Roman" w:hAnsi="Times New Roman"/>
          <w:b w:val="false"/>
          <w:color w:val="000000"/>
          <w:sz w:val="22"/>
          <w:u w:val="single"/>
        </w:rPr>
        <w:t>Illegality</w:t>
      </w:r>
      <w:r>
        <w:rPr>
          <w:rFonts w:ascii="Times New Roman" w:hAnsi="Times New Roman"/>
          <w:b w:val="false"/>
          <w:color w:val="000000"/>
          <w:sz w:val="22"/>
        </w:rPr>
        <w:t>. If any Lender determines that any Law has made it unlawful, or that any Governmental Authority has asserted that it is unlawful, for any Lender or its Applicable Lending Office to perform any of its obligations hereunder or make, maintain or fund or charge interest with respect to any Credit Extension or to determine or charge interest rates based upon the Term SOFR,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issue, make, maintain, fund or charge interest with respect to any such Credit Extension or continue SOFR Loans or to convert Base Rate Loans to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the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3.08 </w:t>
      </w:r>
      <w:r>
        <w:rPr>
          <w:rFonts w:ascii="Times New Roman" w:hAnsi="Times New Roman"/>
          <w:b w:val="false"/>
          <w:color w:val="000000"/>
          <w:sz w:val="22"/>
          <w:u w:val="single"/>
        </w:rPr>
        <w:t>Survival</w:t>
      </w:r>
      <w:r>
        <w:rPr>
          <w:rFonts w:ascii="Times New Roman" w:hAnsi="Times New Roman"/>
          <w:b w:val="false"/>
          <w:color w:val="000000"/>
          <w:sz w:val="22"/>
        </w:rPr>
        <w:t xml:space="preserve">. All of the Borrower’s obligations under this </w:t>
      </w:r>
      <w:r>
        <w:rPr>
          <w:rFonts w:ascii="Times New Roman" w:hAnsi="Times New Roman"/>
          <w:b w:val="false"/>
          <w:color w:val="000000"/>
          <w:sz w:val="22"/>
          <w:u w:val="single"/>
        </w:rPr>
        <w:t>Article III</w:t>
      </w:r>
      <w:r>
        <w:rPr>
          <w:rFonts w:ascii="Times New Roman" w:hAnsi="Times New Roman"/>
          <w:color w:val="000000"/>
          <w:sz w:val="20"/>
        </w:rPr>
        <w:t xml:space="preserve"> </w:t>
      </w:r>
      <w:r>
        <w:rPr>
          <w:rFonts w:ascii="Times New Roman" w:hAnsi="Times New Roman"/>
          <w:b w:val="false"/>
          <w:color w:val="000000"/>
          <w:sz w:val="22"/>
        </w:rPr>
        <w:t>shall survive termination of the Aggregate Commitments and repayment of all other Obligations hereunder and any assignment of rights by or replacement of a Lender.</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IV</w:t>
      </w:r>
      <w:r>
        <w:rPr>
          <w:rFonts w:ascii="Times New Roman" w:hAnsi="Times New Roman"/>
          <w:b w:val="false"/>
          <w:color w:val="000000"/>
          <w:sz w:val="22"/>
          <w:u w:val="single"/>
        </w:rPr>
        <w:br/>
        <w:br/>
        <w:t>Conditions Precedent to Credit Extensions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4.01 </w:t>
      </w:r>
      <w:r>
        <w:rPr>
          <w:rFonts w:ascii="Times New Roman" w:hAnsi="Times New Roman"/>
          <w:b w:val="false"/>
          <w:color w:val="000000"/>
          <w:sz w:val="22"/>
          <w:u w:val="single"/>
        </w:rPr>
        <w:t>Conditions to Closing Date</w:t>
      </w:r>
      <w:r>
        <w:rPr>
          <w:rFonts w:ascii="Times New Roman" w:hAnsi="Times New Roman"/>
          <w:b w:val="false"/>
          <w:color w:val="000000"/>
          <w:sz w:val="22"/>
        </w:rPr>
        <w:t xml:space="preserve">. The obligation of each Lender to make its initial Credit Extension hereunder is subject to the satisfaction of the following conditions precedent (or waiver thereof in accordance with </w:t>
      </w:r>
      <w:r>
        <w:rPr>
          <w:rFonts w:ascii="Times New Roman" w:hAnsi="Times New Roman"/>
          <w:b w:val="false"/>
          <w:color w:val="000000"/>
          <w:sz w:val="22"/>
          <w:u w:val="single"/>
        </w:rPr>
        <w:t>Section 10.01</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The Administrative Agent’s receipt of the following, each of which shall be facsimiles unless otherwise specified, each properly executed by a Responsible Officer of the signing Loan Party (other than in respect of </w:t>
      </w:r>
      <w:r>
        <w:rPr>
          <w:rFonts w:ascii="Times New Roman" w:hAnsi="Times New Roman"/>
          <w:color w:val="000000"/>
          <w:sz w:val="22"/>
          <w:u w:val="single"/>
        </w:rPr>
        <w:t>clause (a)(i)(v)</w:t>
      </w:r>
      <w:r>
        <w:rPr>
          <w:rFonts w:ascii="Times New Roman" w:hAnsi="Times New Roman"/>
          <w:color w:val="000000"/>
          <w:sz w:val="20"/>
        </w:rPr>
        <w:t xml:space="preserve"> </w:t>
      </w:r>
      <w:r>
        <w:rPr>
          <w:rFonts w:ascii="Times New Roman" w:hAnsi="Times New Roman"/>
          <w:color w:val="000000"/>
          <w:sz w:val="22"/>
        </w:rPr>
        <w:t>below), each in form and substance reasonably satisfactory to the Administrative Agent and its legal counsel:</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executed counterparts of this Agreement and the Guaranty from each of the Loan Parties listed on the signature pages thereto;</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 Note executed by the Borrower in favor of each Lender that has requested a Note at least five (5) Business Days in advance of the Closing Date;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(iii) each Collateral Document set forth on </w:t>
      </w:r>
      <w:r>
        <w:rPr>
          <w:rFonts w:ascii="Times New Roman" w:hAnsi="Times New Roman"/>
          <w:color w:val="000000"/>
          <w:sz w:val="22"/>
          <w:u w:val="single"/>
        </w:rPr>
        <w:t>Schedule 1.01A</w:t>
      </w:r>
      <w:r>
        <w:rPr>
          <w:rFonts w:ascii="Times New Roman" w:hAnsi="Times New Roman"/>
          <w:color w:val="000000"/>
          <w:sz w:val="20"/>
        </w:rPr>
        <w:t xml:space="preserve"> </w:t>
      </w:r>
      <w:r>
        <w:rPr>
          <w:rFonts w:ascii="Times New Roman" w:hAnsi="Times New Roman"/>
          <w:color w:val="000000"/>
          <w:sz w:val="22"/>
        </w:rPr>
        <w:t>required to be executed on the Closing Date as indicated on such schedule, duly executed by each Loan Party party thereto, together with (except as provided in such Collateral Documents);</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(A) certificates, if any, representing the pledged equity referred to therein, accompanied by undated stock powers, if applicable, executed in blank and (if applicable) instruments evidencing the pledged debt referred to therein endorsed in blank; and</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(B) evidence that all other actions, recordings and filings that the Administrative Agent or Collateral Agent may deem reasonably necessary to satisfy the Collateral and Guarantee Requirement shall have been taken, completed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2160" w:right="0" w:hanging="0"/>
        <w:jc w:val="both"/>
        <w:rPr>
          <w:rFonts w:ascii="Times New Roman" w:hAnsi="Times New Roman"/>
          <w:color w:val="000000"/>
          <w:sz w:val="22"/>
        </w:rPr>
      </w:pPr>
      <w:r>
        <w:rPr>
          <w:rFonts w:ascii="Times New Roman" w:hAnsi="Times New Roman"/>
          <w:color w:val="000000"/>
          <w:sz w:val="22"/>
        </w:rPr>
        <w:t>or otherwise provided for in a manner reasonably satisfactory to the Administrative Agent and Collateral Agent;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(iv) such certificates, copies of Organization Documents of the Loan Parties, resolutions or other action and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or is to be a party on the Closing Date;</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 an opinion from Sidley Austin LLP, counsel to the Loan Parties;</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 [reserved];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(vii) a certificate attesting to the Solvency of the Borrower, from the chief financial officer or other officer with equivalent duties of the Borrower, in substantially the form of </w:t>
      </w:r>
      <w:r>
        <w:rPr>
          <w:rFonts w:ascii="Times New Roman" w:hAnsi="Times New Roman"/>
          <w:color w:val="000000"/>
          <w:sz w:val="22"/>
          <w:u w:val="single"/>
        </w:rPr>
        <w:t>Exhibit M</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(viii) a Request for Credit Extension relating to the Credit Extension of the Loans to be made on the Closing Date;</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(ix) that certain Letter of Direction, dated as of the Closing Date and delivered to Administrative Agent by the Borrower;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(x) certificates of insurance evidencing the Borrower and its Restricted Subsidiaries’ compliance with the requirements of </w:t>
      </w:r>
      <w:r>
        <w:rPr>
          <w:rFonts w:ascii="Times New Roman" w:hAnsi="Times New Roman"/>
          <w:color w:val="000000"/>
          <w:sz w:val="22"/>
          <w:u w:val="single"/>
        </w:rPr>
        <w:t>Section 6.06</w:t>
      </w:r>
      <w:r>
        <w:rPr>
          <w:rFonts w:ascii="Times New Roman" w:hAnsi="Times New Roman"/>
          <w:color w:val="000000"/>
          <w:sz w:val="22"/>
        </w:rPr>
        <w:t>; and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(xi) a certificate of status with respect to each Loan Party, dated within 30 days of the Closing Date, such certificate to be issued by the appropriate officer of the jurisdiction of organization of such Loan Party, which certificate shall indicate that such Loan Party is in good standing in such jurisdiction;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All fees and expenses required to be paid hereunder or pursuant to the Closing Date Fee Letter, to the extent invoiced at least three (3) Business Days prior to the Closing Date shall have been paid in full in cash or will be paid on the Closing Date.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The Lead Arranger shall have received the Unaudited Financial Statements.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The Borrower and its Restricted Subsidiaries shall have Liquidity of at least $250,000,000.</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Prior to or substantially simultaneously with the Closing Date, the Indebtedness outstanding under the Existing Credit Agreement shall be paid in full.</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The representations and warranties of the Borrower and each other Loan Party contained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any other Loan Document shall be true and correct in all material respects on and as of the Closing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that such representations and warranties specifically refer to an earlier date, they shall be true and correct in all material respects as of such earlier date;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any representation and warranty that is qualified as to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color w:val="000000"/>
        </w:rPr>
      </w:pPr>
      <w:r>
        <w:rPr>
          <w:color w:val="000000"/>
        </w:rPr>
        <w:t>“</w:t>
      </w:r>
      <w:r>
        <w:rPr>
          <w:rFonts w:ascii="Times New Roman" w:hAnsi="Times New Roman"/>
          <w:color w:val="000000"/>
          <w:sz w:val="22"/>
        </w:rPr>
        <w:t>materiality,” “Material Adverse Effect” or similar language shall be true and correct (after giving effect to any qualification therein) in all respects on such respective dates.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The Administrative Agent and the Lead Arranger shall have received at least three (3) Business Days prior to the Closing Date all documentation and other information about the Borrower and the Guarantors as has been reasonably requested in writing at least ten (10) Business Days prior to the Closing Date by the Administrative Agent and the Lead Arranger that they reasonably determine is required by regulatory authorities under applicable “know your customer” and anti-money laundering rules and regulations, including without limitation the USA PATRIOT Act and, to the extent required by 31 C.F.R. §1010.230, a certification of the Borrower regarding beneficial ownership which shall include, without limitation, a duly executed IRS Form W-9, or other applicable tax form.</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No Default or Event of Default shall exist, or would result from such proposed Credit Extension or from the application of the proceeds therefrom.</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For purposes of determining whether the Closing Date has occurred, each Lender that has executed this Agreement shall be deemed to have consented to, approved or accepted, or to be satisfied with, each document or other matter required hereunder to be consented to or approved by or acceptable or satisfactory to the Administrative Agent or such Lender, as the case may be, unless such Lender has notified the Administrative Agent of any disagreement prior to the Closing Date.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4.02 </w:t>
      </w:r>
      <w:r>
        <w:rPr>
          <w:rFonts w:ascii="Times New Roman" w:hAnsi="Times New Roman"/>
          <w:b w:val="false"/>
          <w:color w:val="000000"/>
          <w:sz w:val="22"/>
          <w:u w:val="single"/>
        </w:rPr>
        <w:t>Conditions to Subsequent Credit Extensions</w:t>
      </w:r>
      <w:r>
        <w:rPr>
          <w:rFonts w:ascii="Times New Roman" w:hAnsi="Times New Roman"/>
          <w:b w:val="false"/>
          <w:color w:val="000000"/>
          <w:sz w:val="22"/>
        </w:rPr>
        <w:t>. The obligation of each Lender to honor any Request for Credit Extension after the Closing Date (other than a Committed Loan Notice requesting only a conversion of Loans to the other Type, or a continuation of SOFR Loans) is subject to the following conditions precedent: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The representations and warranties of the Borrower and each other Loan Party contained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any other Loan Document shall be true and correct in all material respects on and as of the date of such Credit Extension;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to the extent that such representations and warranties specifically refer to an earlier date, they shall be true and correct in all material respects as of such earlier date;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representation and warranty that is qualified as to “materiality,” “Material Adverse Effect” or similar language shall be true and correct (after giving effect to any qualification therein) in all respects on such respective dates;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the case of an Incremental Facility the proceeds of which will be used to finance a Limited Condition Transaction, the foregoing will be limited to the Specified Representations.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No Default or Event of Default shall exist, or would result from such proposed Credit Extension or from the application of the proceeds therefrom;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any Incremental Facilities, the proceeds of which will be used to finance a Limited Condition Transaction,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shall be limited to Specified Events of Default.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The Administrative Agent and, if applicable, the relevant L/C Issuer or the Swing Line Lender shall have received a Request for Credit Extension in accordance with the requirements hereof.</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Each Request for Credit Extension (other than a Committed Loan Notice requesting only a conversion of Loans to the other Type or a continuation of SOFR Loans) submitted by the Borrower shall be deemed to be a representation and warranty that the applicable conditions specified in </w:t>
      </w:r>
      <w:r>
        <w:rPr>
          <w:rFonts w:ascii="Times New Roman" w:hAnsi="Times New Roman"/>
          <w:color w:val="000000"/>
          <w:sz w:val="22"/>
          <w:u w:val="single"/>
        </w:rPr>
        <w:t>Sections 4.02(a)</w:t>
      </w:r>
      <w:r>
        <w:rPr>
          <w:rFonts w:ascii="Times New Roman" w:hAnsi="Times New Roman"/>
          <w:color w:val="000000"/>
          <w:sz w:val="20"/>
        </w:rPr>
        <w:t xml:space="preserve"> </w:t>
      </w:r>
      <w:r>
        <w:rPr>
          <w:rFonts w:ascii="Times New Roman" w:hAnsi="Times New Roman"/>
          <w:color w:val="000000"/>
          <w:sz w:val="22"/>
        </w:rPr>
        <w:t xml:space="preserve">and, if applicable,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have been satisfied on and as of the date of the applicable Credit Extension.</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V</w:t>
      </w:r>
      <w:r>
        <w:rPr>
          <w:rFonts w:ascii="Times New Roman" w:hAnsi="Times New Roman"/>
          <w:b w:val="false"/>
          <w:color w:val="000000"/>
          <w:sz w:val="22"/>
          <w:u w:val="single"/>
        </w:rPr>
        <w:br/>
        <w:br/>
        <w:t>Representations and Warranties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The Borrower represents and warrants to the Agents and the Lenders on the Closing Date and on the date of each subsequent Credit Extension that: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5.01 </w:t>
      </w:r>
      <w:r>
        <w:rPr>
          <w:rFonts w:ascii="Times New Roman" w:hAnsi="Times New Roman"/>
          <w:b w:val="false"/>
          <w:color w:val="000000"/>
          <w:sz w:val="22"/>
          <w:u w:val="single"/>
        </w:rPr>
        <w:t>Existence, Qualification and Power; Compliance with Laws</w:t>
      </w:r>
      <w:r>
        <w:rPr>
          <w:rFonts w:ascii="Times New Roman" w:hAnsi="Times New Roman"/>
          <w:b w:val="false"/>
          <w:color w:val="000000"/>
          <w:sz w:val="22"/>
        </w:rPr>
        <w:t xml:space="preserve">. Each Loan Party and each other Restricted Subsidiary (a) is a Person duly incorporated, organized or formed, and validly existing and, where applicable, in good standing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(d) is in material compliance with all Laws (including the USA PATRIOT Act and anti-money laundering laws), orders, writs, injunctions and orders and (e) has all requisite governmental licenses, authorizations, consents and approvals to operate its business as currently conducted; except in each case referred to in </w:t>
      </w:r>
      <w:r>
        <w:rPr>
          <w:rFonts w:ascii="Times New Roman" w:hAnsi="Times New Roman"/>
          <w:b w:val="false"/>
          <w:color w:val="000000"/>
          <w:sz w:val="22"/>
          <w:u w:val="single"/>
        </w:rPr>
        <w:t>clause (a)</w:t>
      </w:r>
      <w:r>
        <w:rPr>
          <w:rFonts w:ascii="Times New Roman" w:hAnsi="Times New Roman"/>
          <w:color w:val="000000"/>
          <w:sz w:val="20"/>
        </w:rPr>
        <w:t xml:space="preserve"> </w:t>
      </w:r>
      <w:r>
        <w:rPr>
          <w:rFonts w:ascii="Times New Roman" w:hAnsi="Times New Roman"/>
          <w:b w:val="false"/>
          <w:color w:val="000000"/>
          <w:sz w:val="22"/>
        </w:rPr>
        <w:t xml:space="preserve">(other than with respect to the Borrower), </w:t>
      </w:r>
      <w:r>
        <w:rPr>
          <w:rFonts w:ascii="Times New Roman" w:hAnsi="Times New Roman"/>
          <w:b w:val="false"/>
          <w:color w:val="000000"/>
          <w:sz w:val="22"/>
          <w:u w:val="single"/>
        </w:rPr>
        <w:t>(b)(i)</w:t>
      </w:r>
      <w:r>
        <w:rPr>
          <w:rFonts w:ascii="Times New Roman" w:hAnsi="Times New Roman"/>
          <w:b w:val="false"/>
          <w:color w:val="000000"/>
          <w:sz w:val="22"/>
        </w:rPr>
        <w:t xml:space="preserve">, </w:t>
      </w:r>
      <w:r>
        <w:rPr>
          <w:rFonts w:ascii="Times New Roman" w:hAnsi="Times New Roman"/>
          <w:b w:val="false"/>
          <w:color w:val="000000"/>
          <w:sz w:val="22"/>
          <w:u w:val="single"/>
        </w:rPr>
        <w:t>(c)</w:t>
      </w:r>
      <w:r>
        <w:rPr>
          <w:rFonts w:ascii="Times New Roman" w:hAnsi="Times New Roman"/>
          <w:b w:val="false"/>
          <w:color w:val="000000"/>
          <w:sz w:val="22"/>
        </w:rPr>
        <w:t xml:space="preserve">, </w:t>
      </w:r>
      <w:r>
        <w:rPr>
          <w:rFonts w:ascii="Times New Roman" w:hAnsi="Times New Roman"/>
          <w:b w:val="false"/>
          <w:color w:val="000000"/>
          <w:sz w:val="22"/>
          <w:u w:val="single"/>
        </w:rPr>
        <w:t>(d)</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(e)</w:t>
      </w:r>
      <w:r>
        <w:rPr>
          <w:rFonts w:ascii="Times New Roman" w:hAnsi="Times New Roman"/>
          <w:b w:val="false"/>
          <w:color w:val="000000"/>
          <w:sz w:val="22"/>
        </w:rPr>
        <w:t>, to the extent that failure to do so could not, individually or in the aggregate, reasonably be expected to have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5.02 </w:t>
      </w:r>
      <w:r>
        <w:rPr>
          <w:rFonts w:ascii="Times New Roman" w:hAnsi="Times New Roman"/>
          <w:b w:val="false"/>
          <w:color w:val="000000"/>
          <w:sz w:val="22"/>
          <w:u w:val="single"/>
        </w:rPr>
        <w:t>Authorization; No Contravention</w:t>
      </w:r>
      <w:r>
        <w:rPr>
          <w:rFonts w:ascii="Times New Roman" w:hAnsi="Times New Roman"/>
          <w:b w:val="false"/>
          <w:color w:val="000000"/>
          <w:sz w:val="22"/>
        </w:rPr>
        <w:t xml:space="preserve">. The execution, delivery and performance by each Loan Party of each Loan Document to which such Person is a party, and the consummation of the Transactions, (a) have been duly authorized by all necessary corporate or other organizational action and (b) do not and will not (i) contravene the terms of any of such Person’s Organization Documents, (ii) conflict with or result in any breach or contravention of, or require any payment to be made under (A) any Contractual Obligation evidencing Indebtedness exceeding the Threshold Amount to which such Person is a party or affecting such Person or the properties of such Person or any of its Subsidiaries or (B) any material order, injunction, writ or decree of any Governmental Authority or any arbitral award to which such Person or its property is subject, (iii) result in the creation of any Lien (other than under the Loan Documents and Liens subject to an Acceptable Intercreditor Agreement) or (iv) violate any material Law; except (in the case of </w:t>
      </w:r>
      <w:r>
        <w:rPr>
          <w:rFonts w:ascii="Times New Roman" w:hAnsi="Times New Roman"/>
          <w:b w:val="false"/>
          <w:color w:val="000000"/>
          <w:sz w:val="22"/>
          <w:u w:val="single"/>
        </w:rPr>
        <w:t>clauses (b)(ii)</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(b)(iv)</w:t>
      </w:r>
      <w:r>
        <w:rPr>
          <w:rFonts w:ascii="Times New Roman" w:hAnsi="Times New Roman"/>
          <w:b w:val="false"/>
          <w:color w:val="000000"/>
          <w:sz w:val="22"/>
        </w:rPr>
        <w:t>), to the extent that such conflict, breach, contravention, payment or violation could not, individually or in the aggregate, reasonably be expected to have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5.03 </w:t>
      </w:r>
      <w:r>
        <w:rPr>
          <w:rFonts w:ascii="Times New Roman" w:hAnsi="Times New Roman"/>
          <w:b w:val="false"/>
          <w:color w:val="000000"/>
          <w:sz w:val="22"/>
          <w:u w:val="single"/>
        </w:rPr>
        <w:t>Governmental Authorization; Other Consents</w:t>
      </w:r>
      <w:r>
        <w:rPr>
          <w:rFonts w:ascii="Times New Roman" w:hAnsi="Times New Roman"/>
          <w:b w:val="false"/>
          <w:color w:val="000000"/>
          <w:sz w:val="22"/>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Transactions,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Collateral Documents, except for (i) filings necessary to perfect the Liens on the Collateral granted by the Loan Parties in favor of the Secured Parties, (ii) the approvals, consents, exemptions, authorizations, actions, notices and filings which have been duly obtained, taken, given or made and are in full force and effect and (iii) those approvals, consents, exemptions, authorizations or other actions, notices or filings, the failure of which to obtain or make could not, individually or in the aggregate, reasonably be expected to have a Material Adverse Effect.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5.04 </w:t>
      </w:r>
      <w:r>
        <w:rPr>
          <w:rFonts w:ascii="Times New Roman" w:hAnsi="Times New Roman"/>
          <w:b w:val="false"/>
          <w:color w:val="000000"/>
          <w:sz w:val="22"/>
          <w:u w:val="single"/>
        </w:rPr>
        <w:t>Binding Effect</w:t>
      </w:r>
      <w:r>
        <w:rPr>
          <w:rFonts w:ascii="Times New Roman" w:hAnsi="Times New Roman"/>
          <w:b w:val="false"/>
          <w:color w:val="000000"/>
          <w:sz w:val="22"/>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Debtor Relief Laws and by general principles of equity.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5.05 </w:t>
      </w:r>
      <w:r>
        <w:rPr>
          <w:rFonts w:ascii="Times New Roman" w:hAnsi="Times New Roman"/>
          <w:b w:val="false"/>
          <w:color w:val="000000"/>
          <w:sz w:val="22"/>
          <w:u w:val="single"/>
        </w:rPr>
        <w:t>Financial Statements; No Material Adverse Effect</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The Unaudited Financial Statements fairly present in all material respects the consolidated financial condition of the Borrower, as of the dates thereof and its results of operations for the period covered thereby, except as otherwise disclosed to the Administrative Agent prior to the Closing Date, and prepared in accordance with GAAP consistently applied throughout the periods covered thereby.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Since January 31, 2025, there has been no event or circumstance, either individually or in the aggregate, that has had or could reasonably be expected to have a Material Adverse Effect.</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Event of Default under the Loan Documents.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5.06 </w:t>
      </w:r>
      <w:r>
        <w:rPr>
          <w:rFonts w:ascii="Times New Roman" w:hAnsi="Times New Roman"/>
          <w:b w:val="false"/>
          <w:color w:val="000000"/>
          <w:sz w:val="22"/>
          <w:u w:val="single"/>
        </w:rPr>
        <w:t>Litigation</w:t>
      </w:r>
      <w:r>
        <w:rPr>
          <w:rFonts w:ascii="Times New Roman" w:hAnsi="Times New Roman"/>
          <w:b w:val="false"/>
          <w:color w:val="000000"/>
          <w:sz w:val="22"/>
        </w:rPr>
        <w:t xml:space="preserve">. Except as set forth on </w:t>
      </w:r>
      <w:r>
        <w:rPr>
          <w:rFonts w:ascii="Times New Roman" w:hAnsi="Times New Roman"/>
          <w:b w:val="false"/>
          <w:color w:val="000000"/>
          <w:sz w:val="22"/>
          <w:u w:val="single"/>
        </w:rPr>
        <w:t>Schedule 5.06</w:t>
      </w:r>
      <w:r>
        <w:rPr>
          <w:rFonts w:ascii="Times New Roman" w:hAnsi="Times New Roman"/>
          <w:b w:val="false"/>
          <w:color w:val="000000"/>
          <w:sz w:val="22"/>
        </w:rPr>
        <w:t>, as of the Closing Date, there are no actions, suits, proceedings, claims or disputes pending or, to the knowledge of the Borrower, threatened in writing or contemplated, at law, in equity, in arbitration or before any Governmental Authority, by or against the Borrower or any Restricted Subsidiary or against any of their properties or revenues that either individually or in the aggregate, could reasonably be expected to have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5.07 </w:t>
      </w:r>
      <w:r>
        <w:rPr>
          <w:rFonts w:ascii="Times New Roman" w:hAnsi="Times New Roman"/>
          <w:b w:val="false"/>
          <w:color w:val="000000"/>
          <w:sz w:val="22"/>
          <w:u w:val="single"/>
        </w:rPr>
        <w:t>Ownership of Property; Liens</w:t>
      </w:r>
      <w:r>
        <w:rPr>
          <w:rFonts w:ascii="Times New Roman" w:hAnsi="Times New Roman"/>
          <w:b w:val="false"/>
          <w:color w:val="000000"/>
          <w:sz w:val="22"/>
        </w:rPr>
        <w:t>. Each Loan Party and each of its Subsidiaries has good and valid title to, or valid leasehold interests in, or easements or other limited property interests in, all property necessary in the ordinary conduct of its business, free and clear of all Liens except for minor defects in title that do not materially interfere with its ability to conduct its business or to utilize such assets for their intended purposes, Permitted Liens and any Liens and privileges arising mandatorily by Law and, in each case, except where the failure to have such title or other interest could not reasonably be expected to have, individually or in the aggregate,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5.08 </w:t>
      </w:r>
      <w:r>
        <w:rPr>
          <w:rFonts w:ascii="Times New Roman" w:hAnsi="Times New Roman"/>
          <w:b w:val="false"/>
          <w:color w:val="000000"/>
          <w:sz w:val="22"/>
          <w:u w:val="single"/>
        </w:rPr>
        <w:t>Environmental Matters</w:t>
      </w:r>
      <w:r>
        <w:rPr>
          <w:rFonts w:ascii="Times New Roman" w:hAnsi="Times New Roman"/>
          <w:b w:val="false"/>
          <w:color w:val="000000"/>
          <w:sz w:val="22"/>
        </w:rPr>
        <w:t>. Except as could not reasonably be expected to have, individually or in the aggregate, a Material Adverse Effect: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there are no pending or, to the knowledge of the Borrower, threatened claims, actions, suits, notices of violation, notices of potential responsibility, disputes or proceedings by or involving any Loan Party or any of their Subsidiaries alleging potential liability or responsibility for violation of, or otherwise relating to, any Environmental Law;</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(i) there is no asbestos or asbestos-containing material on any property currently owned, leased or operated by any Loan Party or any of their Subsidiaries; and (ii) there has been no Release of Hazardous Materials at, on, under or from any location in a manner which would reasonably be expected to give rise to any Environmental Liability of any Loan Party or any of their Subsidiaries;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neither any Loan Party nor any of their Subsidiaries is undertaking, or has completed, either individually or together with other persons, any investigation or response action relating to any actual or threatened Release of Hazardous Materials at any location, either voluntarily or pursuant to the order of any Governmental Authority or the requirements of any Environmental Law;</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all Hazardous Materials transported by or on behalf of any Loan Party or its Subsidiaries from any property currently or, to the knowledge of the Borrower or its Subsidiaries, formerly owned, leased or operated by any Loan Party or any of their Subsidiaries for off-site disposal have been disposed of in compliance with all Environmental Laws;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none of the Loan Parties nor any of their Subsidiaries has contractually or by operation of Law assumed any Environmental Liability;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the Loan Parties and each of their Subsidiaries and their respective businesses, operations and properties are and have been in compliance with all Environmental Laws.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5.09 </w:t>
      </w:r>
      <w:r>
        <w:rPr>
          <w:rFonts w:ascii="Times New Roman" w:hAnsi="Times New Roman"/>
          <w:b w:val="false"/>
          <w:color w:val="000000"/>
          <w:sz w:val="22"/>
          <w:u w:val="single"/>
        </w:rPr>
        <w:t>Taxes</w:t>
      </w:r>
      <w:r>
        <w:rPr>
          <w:rFonts w:ascii="Times New Roman" w:hAnsi="Times New Roman"/>
          <w:b w:val="false"/>
          <w:color w:val="000000"/>
          <w:sz w:val="22"/>
        </w:rPr>
        <w:t>. The Borrower and each Restricted Subsidiary have timely filed all federal, provincial, territorial, state, municipal, foreign and other Tax returns and reports required to be filed, and have paid all federal, provincial, territorial, state, municipal, foreign and other Taxes levied or imposed upon them or their properties, income or assets otherwise due and payable, except those which are being contested in good faith by appropriate proceedings diligently conducted and for which adequate reserves have been provided in accordance with GAAP and, except for failures to file or pay as could not, either individually or in the aggregate, reasonably be expected to result in a Material Adverse Effect.</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5.10 </w:t>
      </w:r>
      <w:r>
        <w:rPr>
          <w:rFonts w:ascii="Times New Roman" w:hAnsi="Times New Roman"/>
          <w:b w:val="false"/>
          <w:color w:val="000000"/>
          <w:sz w:val="22"/>
          <w:u w:val="single"/>
        </w:rPr>
        <w:t>Compliance with ERISA</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Except as could not, either individually or in the aggregate, reasonably be expected to result in a Material Adverse Effect, each Pension Plan is in compliance with the applicable provisions of ERISA, the Code and other federal or state Laws and applicable foreign Laws, respectively.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No ERISA Event has occurred or is reasonably expected to occur that could reasonably be expected, individually or in the aggregate, to result in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5.11 </w:t>
      </w:r>
      <w:r>
        <w:rPr>
          <w:rFonts w:ascii="Times New Roman" w:hAnsi="Times New Roman"/>
          <w:b w:val="false"/>
          <w:color w:val="000000"/>
          <w:sz w:val="22"/>
          <w:u w:val="single"/>
        </w:rPr>
        <w:t>Subsidiaries; Equity Interests</w:t>
      </w:r>
      <w:r>
        <w:rPr>
          <w:rFonts w:ascii="Times New Roman" w:hAnsi="Times New Roman"/>
          <w:b w:val="false"/>
          <w:color w:val="000000"/>
          <w:sz w:val="22"/>
        </w:rPr>
        <w:t xml:space="preserve">. As of the Closing Date, neither the Borrower nor any other Loan Party has any Subsidiaries other than those specifically disclosed in </w:t>
      </w:r>
      <w:r>
        <w:rPr>
          <w:rFonts w:ascii="Times New Roman" w:hAnsi="Times New Roman"/>
          <w:b w:val="false"/>
          <w:color w:val="000000"/>
          <w:sz w:val="22"/>
          <w:u w:val="single"/>
        </w:rPr>
        <w:t>Schedule 5.11</w:t>
      </w:r>
      <w:r>
        <w:rPr>
          <w:rFonts w:ascii="Times New Roman" w:hAnsi="Times New Roman"/>
          <w:b w:val="false"/>
          <w:color w:val="000000"/>
          <w:sz w:val="22"/>
        </w:rPr>
        <w:t xml:space="preserve">, and all of the outstanding Equity Interests in the Subsidiaries have been validly issued, are fully paid and, in the case of Equity Interests representing corporate interests, nonassessable and, on the Closing Date, all Equity Interests owned directly or indirectly by the Borrower or any other Loan Party are owned free and clear of all Liens except (i) those created under the Collateral Documents, and (ii) those Liens permitted under </w:t>
      </w:r>
      <w:r>
        <w:rPr>
          <w:rFonts w:ascii="Times New Roman" w:hAnsi="Times New Roman"/>
          <w:b w:val="false"/>
          <w:color w:val="000000"/>
          <w:sz w:val="22"/>
          <w:u w:val="single"/>
        </w:rPr>
        <w:t>Sections 7.01</w:t>
      </w:r>
      <w:r>
        <w:rPr>
          <w:rFonts w:ascii="Times New Roman" w:hAnsi="Times New Roman"/>
          <w:b w:val="false"/>
          <w:color w:val="000000"/>
          <w:sz w:val="22"/>
        </w:rPr>
        <w:t xml:space="preserve">. As of the Closing Date, </w:t>
      </w:r>
      <w:r>
        <w:rPr>
          <w:rFonts w:ascii="Times New Roman" w:hAnsi="Times New Roman"/>
          <w:b w:val="false"/>
          <w:color w:val="000000"/>
          <w:sz w:val="22"/>
          <w:u w:val="single"/>
        </w:rPr>
        <w:t>Schedule 5.11</w:t>
      </w:r>
      <w:r>
        <w:rPr>
          <w:rFonts w:ascii="Times New Roman" w:hAnsi="Times New Roman"/>
          <w:color w:val="000000"/>
          <w:sz w:val="20"/>
        </w:rPr>
        <w:t xml:space="preserve"> </w:t>
      </w:r>
      <w:r>
        <w:rPr>
          <w:rFonts w:ascii="Times New Roman" w:hAnsi="Times New Roman"/>
          <w:b w:val="false"/>
          <w:color w:val="000000"/>
          <w:sz w:val="22"/>
        </w:rPr>
        <w:t>(a) sets forth the name and jurisdiction of organization or incorporation of each Subsidiary, (b) sets forth the ownership interest of the Borrower and any of their Subsidiaries in each of their respective Subsidiaries, including the percentage of such ownership and (c) identifies each Person the Equity Interests of which are required to be pledged on the Closing Date pursuant to the Collateral and Guarantee Requirement.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5.12 </w:t>
      </w:r>
      <w:r>
        <w:rPr>
          <w:rFonts w:ascii="Times New Roman" w:hAnsi="Times New Roman"/>
          <w:b w:val="false"/>
          <w:color w:val="000000"/>
          <w:sz w:val="22"/>
          <w:u w:val="single"/>
        </w:rPr>
        <w:t>Margin Regulations; Investment Company Act</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No Loan Party is engaged nor will it engage, principally or as one of its important activities, in the business of purchasing or carrying margin stock (within the meaning of Regulation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U issued by the FRB), or extending credit for the purpose of purchasing or carrying margin stock, and no proceeds of any Borrowings or drawings under any Letter of Credit will be used for any purpose that violates Regulation U or Regulation X of the FRB.</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No Loan Party is or is required to be registered as an “investment company” under the Investment Company Act of 1940, as amended.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5.13 </w:t>
      </w:r>
      <w:r>
        <w:rPr>
          <w:rFonts w:ascii="Times New Roman" w:hAnsi="Times New Roman"/>
          <w:b w:val="false"/>
          <w:color w:val="000000"/>
          <w:sz w:val="22"/>
          <w:u w:val="single"/>
        </w:rPr>
        <w:t>Disclosure</w:t>
      </w:r>
      <w:r>
        <w:rPr>
          <w:rFonts w:ascii="Times New Roman" w:hAnsi="Times New Roman"/>
          <w:b w:val="false"/>
          <w:color w:val="000000"/>
          <w:sz w:val="22"/>
        </w:rPr>
        <w:t xml:space="preserve">. As of the Closing Date, no report, financial statement, certificate or other written information furnished by or on behalf of any Loan Party to any Agent, the Lead Arranger or any Lender in connection with the transactions contemplated hereby and the negotiation of this Agreement or delivered hereunder or any other Loan Document (as modified or supplemented by other information so furnished) when taken as a whole contains when furnished any untrue statement of a material fact or omits to state a material fact necessary in order to make the statements contained therein not materially misleading in light of the circumstances under which such statements are made (giving effect to all supplements and updates thereto);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with respect to projected financial information, the Borrower represents only that such information was prepared in good faith based upon assumptions believed to be reasonable at the time of preparation; it being understood that (i) such projections are as to future events and are not to be viewed as facts and are subject to significant uncertainties and contingencies, many of which are beyond the control of the Borrower, (ii) no assurance can be given that any particular projections will be realized and that actual results during the period or periods covered by any such projections may differ significantly from the projected results and (iii) such differences may be material. As of the Closing Date, the information included in the Beneficial Ownership Certification is true and correct in all respects.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5.14 </w:t>
      </w:r>
      <w:r>
        <w:rPr>
          <w:rFonts w:ascii="Times New Roman" w:hAnsi="Times New Roman"/>
          <w:b w:val="false"/>
          <w:color w:val="000000"/>
          <w:sz w:val="22"/>
          <w:u w:val="single"/>
        </w:rPr>
        <w:t>Intellectual Property; Licenses, Etc.</w:t>
      </w:r>
      <w:r>
        <w:rPr>
          <w:rFonts w:ascii="Times New Roman" w:hAnsi="Times New Roman"/>
          <w:color w:val="000000"/>
          <w:sz w:val="20"/>
        </w:rPr>
        <w:t xml:space="preserve"> </w:t>
      </w:r>
      <w:r>
        <w:rPr>
          <w:rFonts w:ascii="Times New Roman" w:hAnsi="Times New Roman"/>
          <w:b w:val="false"/>
          <w:color w:val="000000"/>
          <w:sz w:val="22"/>
        </w:rPr>
        <w:t>Each of the Loan Parties and their Restricted Subsidiaries exclusively own, license or possess the right to use, all Intellectual Property used in or reasonably necessary for the operation of their respective businesses as currently conducted (collectively, the “</w:t>
      </w:r>
      <w:r>
        <w:rPr>
          <w:rFonts w:ascii="Times New Roman" w:hAnsi="Times New Roman"/>
          <w:b w:val="false"/>
          <w:color w:val="000000"/>
          <w:sz w:val="22"/>
          <w:u w:val="single"/>
        </w:rPr>
        <w:t>IP Rights</w:t>
      </w:r>
      <w:r>
        <w:rPr>
          <w:rFonts w:ascii="Times New Roman" w:hAnsi="Times New Roman"/>
          <w:color w:val="000000"/>
          <w:sz w:val="20"/>
        </w:rPr>
        <w:t>”</w:t>
      </w:r>
      <w:r>
        <w:rPr>
          <w:rFonts w:ascii="Times New Roman" w:hAnsi="Times New Roman"/>
          <w:b w:val="false"/>
          <w:color w:val="000000"/>
          <w:sz w:val="22"/>
        </w:rPr>
        <w:t>) except for any failure to own, license, or possess that could not, either individually or in the aggregate, reasonably be expected to have a Material Adverse Effect. All registered Intellectual Property and applications to register Intellectual Property owned by or exclusively licensed to any of the Loan Parties and the Subsidiaries (“</w:t>
      </w:r>
      <w:r>
        <w:rPr>
          <w:rFonts w:ascii="Times New Roman" w:hAnsi="Times New Roman"/>
          <w:b w:val="false"/>
          <w:color w:val="000000"/>
          <w:sz w:val="22"/>
          <w:u w:val="single"/>
        </w:rPr>
        <w:t>Registered IP</w:t>
      </w:r>
      <w:r>
        <w:rPr>
          <w:rFonts w:ascii="Times New Roman" w:hAnsi="Times New Roman"/>
          <w:color w:val="000000"/>
          <w:sz w:val="20"/>
        </w:rPr>
        <w:t>”</w:t>
      </w:r>
      <w:r>
        <w:rPr>
          <w:rFonts w:ascii="Times New Roman" w:hAnsi="Times New Roman"/>
          <w:b w:val="false"/>
          <w:color w:val="000000"/>
          <w:sz w:val="22"/>
        </w:rPr>
        <w:t>) are subsisting (other than pending Dispositions of immaterial Intellectual Property that will lapse or go abandoned in the ordinary course of business), and to the knowledge of the Borrower, valid and enforceable (if registered) except as could not reasonably be expected to have, individually or in the aggregate, a Material Adverse Effect. To the knowledge of the Borrower, neither the use of the IP Rights nor the operation of the businesses of the Loan Parties and their Subsidiaries as currently conducted infringe, misappropriate or otherwise violate the rights of any Person, except to the extent such infringement, misappropriation or other violation or failure to own, license, or possess, either individually or in the aggregate, could not reasonably be expected to have a Material Adverse Effect. No claim or litigation alleging any infringement, misappropriation or other violation of any Intellectual Property rights of any Persons, or challenging the ownership of or rights in the Registered IP by the Loan Parties and their Subsidiaries or the validity or enforceability of the Registered IP, is pending or, to the knowledge of the Borrower, threatened against any Loan Party or Subsidiary, which, either individually or in the aggregate, could reasonably be expected to have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5.15 </w:t>
      </w:r>
      <w:r>
        <w:rPr>
          <w:rFonts w:ascii="Times New Roman" w:hAnsi="Times New Roman"/>
          <w:b w:val="false"/>
          <w:color w:val="000000"/>
          <w:sz w:val="22"/>
          <w:u w:val="single"/>
        </w:rPr>
        <w:t>Privacy and Data Security</w:t>
      </w:r>
      <w:r>
        <w:rPr>
          <w:rFonts w:ascii="Times New Roman" w:hAnsi="Times New Roman"/>
          <w:color w:val="000000"/>
          <w:sz w:val="20"/>
        </w:rPr>
        <w:t xml:space="preserve"> </w:t>
      </w:r>
      <w:r>
        <w:rPr>
          <w:rFonts w:ascii="Times New Roman" w:hAnsi="Times New Roman"/>
          <w:b w:val="false"/>
          <w:color w:val="000000"/>
          <w:sz w:val="22"/>
        </w:rPr>
        <w:t>Except for any non-compliance which, either individually or in the aggregate, could be reasonably expected to have a Material Adverse Effect, each of the Loan Parties and their Restricted Subsidiaries complies with (i) all Privacy and Information Security Requirements and (ii) its Privacy Notices. No Loan Party or its Restricted Subsidiaries, nor, to the knowledge of the Borrower, any other Person, has received any notice, allegation, complaint or other communication, and to the knowledge of the Borrower there is not any material pending investigation by any Governmental Authority or payment card association, regarding any actual or possible violation of any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Privacy and Information Security Requirement by or with respect to any Loan Party or its Restricted Subsidiaries. To the knowledge of the Borrower, no Loan Party or its Restricted Subsidiaries has suffered a material security breach with respect to any of the Company Data.</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5.16 </w:t>
      </w:r>
      <w:r>
        <w:rPr>
          <w:rFonts w:ascii="Times New Roman" w:hAnsi="Times New Roman"/>
          <w:b w:val="false"/>
          <w:color w:val="000000"/>
          <w:sz w:val="22"/>
          <w:u w:val="single"/>
        </w:rPr>
        <w:t>Solvency</w:t>
      </w:r>
      <w:r>
        <w:rPr>
          <w:rFonts w:ascii="Times New Roman" w:hAnsi="Times New Roman"/>
          <w:b w:val="false"/>
          <w:color w:val="000000"/>
          <w:sz w:val="22"/>
        </w:rPr>
        <w:t>. On the Closing Date after giving effect to the Transactions, the Borrower and its Subsidiaries, on a consolidated basis, are Solvent.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5.17 </w:t>
      </w:r>
      <w:r>
        <w:rPr>
          <w:rFonts w:ascii="Times New Roman" w:hAnsi="Times New Roman"/>
          <w:b w:val="false"/>
          <w:color w:val="000000"/>
          <w:sz w:val="22"/>
          <w:u w:val="single"/>
        </w:rPr>
        <w:t>Collateral Documents</w:t>
      </w:r>
      <w:r>
        <w:rPr>
          <w:rFonts w:ascii="Times New Roman" w:hAnsi="Times New Roman"/>
          <w:b w:val="false"/>
          <w:color w:val="000000"/>
          <w:sz w:val="22"/>
        </w:rPr>
        <w:t>. The Collateral Documents are effective to create in favor of the Collateral Agent for the benefit of the Secured Parties legal, valid and enforceable Liens on and security interests in, the Collateral described therein and to the extent intended to be created thereby, except as such enforceability may be limited by Debtor Relief Laws and by general principles of equity, and (i) when all appropriate filings or recordings are made in the appropriate offices as may be required under applicable Laws (which filings or recordings shall be made to the extent required by any Collateral Document) and (ii) upon the taking of possession or control by the Collateral Agent of such Collateral with respect to which a security interest may be perfected only by possession or control (which possession or control shall be given to the Collateral Agent to the extent required by any Collateral Document or an Acceptable Intercreditor Agreement), the Liens created by such Collateral Documents will constitute so far as possible under relevant Law fully perfected Liens on (with the priority set forth in an Acceptable Intercreditor Agreement), and security interests in, all right, title and interest of the Loan Parties in such Collateral to the extent perfection can be obtained by filing financing statements or upon the taking of possession or control, in each case subject to no Liens other than Permitted Liens.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5.18 </w:t>
      </w:r>
      <w:r>
        <w:rPr>
          <w:rFonts w:ascii="Times New Roman" w:hAnsi="Times New Roman"/>
          <w:b w:val="false"/>
          <w:color w:val="000000"/>
          <w:sz w:val="22"/>
          <w:u w:val="single"/>
        </w:rPr>
        <w:t>Use of Proceeds</w:t>
      </w:r>
      <w:r>
        <w:rPr>
          <w:rFonts w:ascii="Times New Roman" w:hAnsi="Times New Roman"/>
          <w:b w:val="false"/>
          <w:color w:val="000000"/>
          <w:sz w:val="22"/>
        </w:rPr>
        <w:t>. The proceeds of the Initial Term Loans, the Revolving Credit Loans and the L/C Credit Extensions shall be used in a manner consistent with the uses set forth in the Preliminary Statements to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5.19 </w:t>
      </w:r>
      <w:r>
        <w:rPr>
          <w:rFonts w:ascii="Times New Roman" w:hAnsi="Times New Roman"/>
          <w:b w:val="false"/>
          <w:color w:val="000000"/>
          <w:sz w:val="22"/>
          <w:u w:val="single"/>
        </w:rPr>
        <w:t>Sanctions Laws and Regulations and Anti-Corruption Laws</w:t>
      </w:r>
      <w:r>
        <w:rPr>
          <w:rFonts w:ascii="Times New Roman" w:hAnsi="Times New Roman"/>
          <w:b w:val="false"/>
          <w:color w:val="000000"/>
          <w:sz w:val="22"/>
        </w:rPr>
        <w:t>.</w:t>
      </w:r>
    </w:p>
    <w:p>
      <w:pPr>
        <w:pStyle w:val="TextBody"/>
        <w:bidi w:val="0"/>
        <w:spacing w:before="0" w:after="240"/>
        <w:ind w:left="90" w:right="0" w:firstLine="1350"/>
        <w:jc w:val="both"/>
        <w:rPr>
          <w:rFonts w:ascii="Times New Roman" w:hAnsi="Times New Roman"/>
          <w:color w:val="000000"/>
          <w:sz w:val="22"/>
        </w:rPr>
      </w:pPr>
      <w:r>
        <w:rPr>
          <w:rFonts w:ascii="Times New Roman" w:hAnsi="Times New Roman"/>
          <w:color w:val="000000"/>
          <w:sz w:val="22"/>
        </w:rPr>
        <w:t>(a) Each of the Borrower and its Subsidiaries, and to the knowledge of each Loan Party, each director, manager, officer, employee, agent and Affiliate of each such Loan Party and each of its Subsidiaries, is in compliance (i) with applicable Sanctions Laws and Regulations and (ii) in all material respects with the FCPA and any other applicable Anti-Corruption Laws. No Borrowing or direct or, to the knowledge of the Borrower, indirect use of proceeds of any Borrowing or drawing under any Letter of Credit will violate or result in the violation of any Sanctions Laws and Regulations or Anti-Corruption Laws applicable to any party hereto.</w:t>
      </w:r>
    </w:p>
    <w:p>
      <w:pPr>
        <w:pStyle w:val="TextBody"/>
        <w:bidi w:val="0"/>
        <w:spacing w:before="0" w:after="240"/>
        <w:ind w:left="90" w:right="0" w:firstLine="1350"/>
        <w:jc w:val="both"/>
        <w:rPr>
          <w:rFonts w:ascii="Times New Roman" w:hAnsi="Times New Roman"/>
          <w:sz w:val="20"/>
        </w:rPr>
      </w:pPr>
      <w:r>
        <w:rPr>
          <w:rFonts w:ascii="Times New Roman" w:hAnsi="Times New Roman"/>
          <w:color w:val="000000"/>
          <w:sz w:val="22"/>
        </w:rPr>
        <w:t>(b) None of (I) the Borrower or any other Loan Party or (II) a Restricted Subsidiary that is not a Loan Party or, to the knowledge of the Borrower, any director, manager, officer, agent, employee or Affiliate of the Borrower or any of its Restricted Subsidiaries, in each case, is (i) a Person (or owned 50% or more by one or more Persons or under Control of a Person) on the list of “Specially Designated Nationals and Blocked Persons” or the target of restrictions or prohibitions under any Sanctions Laws and Regulations, or (ii) a Person located, organized, or resident in a country or territory that is the subject of comprehensive sanctions under Sanctions Laws and Regulations (currently, the Crimea and the so-called Donetsk People's Republic and Luhansk People's Republic regions of Ukraine, Cuba, Iran, North Korea, and Syria) in violation of Sanctions Laws and Regulations.</w:t>
      </w:r>
      <w:r>
        <w:rPr>
          <w:rFonts w:ascii="Times New Roman" w:hAnsi="Times New Roman"/>
          <w:color w:val="000000"/>
          <w:sz w:val="20"/>
        </w:rPr>
        <w:t xml:space="preserve"> </w:t>
      </w:r>
    </w:p>
    <w:p>
      <w:pPr>
        <w:pStyle w:val="TextBody"/>
        <w:bidi w:val="0"/>
        <w:spacing w:before="0" w:after="240"/>
        <w:ind w:left="90" w:right="0" w:firstLine="1350"/>
        <w:jc w:val="both"/>
        <w:rPr>
          <w:rFonts w:ascii="Times New Roman" w:hAnsi="Times New Roman"/>
          <w:sz w:val="20"/>
        </w:rPr>
      </w:pPr>
      <w:r>
        <w:rPr>
          <w:rFonts w:ascii="Times New Roman" w:hAnsi="Times New Roman"/>
          <w:color w:val="000000"/>
          <w:sz w:val="22"/>
        </w:rPr>
        <w:t>(c) No part of the proceeds of any Loan or Letter of Credit will be used for any improper payments, directly or, to the knowledge of the Borrower, indirectly, to any governmental official or employee, political party, official of a political party, candidate for political office, or any other party (if applicable) in order to obtain, retain or direct business or obtain any improper advantage, in violation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90" w:right="0" w:hanging="0"/>
        <w:jc w:val="both"/>
        <w:rPr>
          <w:rFonts w:ascii="Times New Roman" w:hAnsi="Times New Roman"/>
          <w:color w:val="000000"/>
          <w:sz w:val="22"/>
        </w:rPr>
      </w:pPr>
      <w:r>
        <w:rPr>
          <w:rFonts w:ascii="Times New Roman" w:hAnsi="Times New Roman"/>
          <w:color w:val="000000"/>
          <w:sz w:val="22"/>
        </w:rPr>
        <w:t>of the FCPA or any other Anti-Corruption Law issued, administered or enforced by any Governmental Authority having jurisdiction over the Borrower.</w:t>
      </w:r>
    </w:p>
    <w:p>
      <w:pPr>
        <w:pStyle w:val="TextBody"/>
        <w:bidi w:val="0"/>
        <w:spacing w:before="0" w:after="240"/>
        <w:ind w:left="90" w:right="0" w:firstLine="1350"/>
        <w:jc w:val="both"/>
        <w:rPr>
          <w:rFonts w:ascii="Times New Roman" w:hAnsi="Times New Roman"/>
          <w:color w:val="000000"/>
          <w:sz w:val="22"/>
        </w:rPr>
      </w:pPr>
      <w:r>
        <w:rPr>
          <w:rFonts w:ascii="Times New Roman" w:hAnsi="Times New Roman"/>
          <w:color w:val="000000"/>
          <w:sz w:val="22"/>
        </w:rPr>
        <w:t>(d) Each of the Loan Parties and its Restricted Subsidiaries has implemented and maintains in effect policies and procedures reasonably designed to promote compliance with Sanctions Laws and Regulations and Anti-Corruption Laws.</w:t>
      </w:r>
    </w:p>
    <w:p>
      <w:pPr>
        <w:pStyle w:val="TextBody"/>
        <w:bidi w:val="0"/>
        <w:spacing w:before="0" w:after="240"/>
        <w:ind w:left="90" w:right="0" w:firstLine="1350"/>
        <w:jc w:val="both"/>
        <w:rPr>
          <w:rFonts w:ascii="Times New Roman" w:hAnsi="Times New Roman"/>
          <w:sz w:val="20"/>
        </w:rPr>
      </w:pPr>
      <w:r>
        <w:rPr>
          <w:rFonts w:ascii="Times New Roman" w:hAnsi="Times New Roman"/>
          <w:color w:val="000000"/>
          <w:sz w:val="22"/>
        </w:rPr>
        <w:t>(e)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Times New Roman" w:hAnsi="Times New Roman"/>
          <w:color w:val="000000"/>
          <w:sz w:val="22"/>
          <w:u w:val="single"/>
        </w:rPr>
        <w:t>Patriot Act</w:t>
      </w:r>
      <w:r>
        <w:rPr>
          <w:rFonts w:ascii="Times New Roman" w:hAnsi="Times New Roman"/>
          <w:color w:val="000000"/>
          <w:sz w:val="20"/>
        </w:rPr>
        <w:t>”</w:t>
      </w:r>
      <w:r>
        <w:rPr>
          <w:rFonts w:ascii="Times New Roman" w:hAnsi="Times New Roman"/>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5.20 </w:t>
      </w:r>
      <w:r>
        <w:rPr>
          <w:rFonts w:ascii="Times New Roman" w:hAnsi="Times New Roman"/>
          <w:b w:val="false"/>
          <w:color w:val="000000"/>
          <w:sz w:val="22"/>
          <w:u w:val="single"/>
        </w:rPr>
        <w:t>Insurance</w:t>
      </w:r>
      <w:r>
        <w:rPr>
          <w:rFonts w:ascii="Times New Roman" w:hAnsi="Times New Roman"/>
          <w:b w:val="false"/>
          <w:color w:val="000000"/>
          <w:sz w:val="22"/>
        </w:rPr>
        <w:t xml:space="preserve">. The Borrower and its Restricted Subsidiaries are in compliance, in all material respects, with the requirements set forth in </w:t>
      </w:r>
      <w:r>
        <w:rPr>
          <w:rFonts w:ascii="Times New Roman" w:hAnsi="Times New Roman"/>
          <w:b w:val="false"/>
          <w:color w:val="000000"/>
          <w:sz w:val="22"/>
          <w:u w:val="single"/>
        </w:rPr>
        <w:t>Section 6.06</w:t>
      </w:r>
      <w:r>
        <w:rPr>
          <w:rFonts w:ascii="Times New Roman" w:hAnsi="Times New Roman"/>
          <w:b w:val="false"/>
          <w:color w:val="000000"/>
          <w:sz w:val="22"/>
        </w:rPr>
        <w:t>.</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VI</w:t>
      </w:r>
      <w:r>
        <w:rPr>
          <w:rFonts w:ascii="Times New Roman" w:hAnsi="Times New Roman"/>
          <w:b w:val="false"/>
          <w:color w:val="000000"/>
          <w:sz w:val="22"/>
          <w:u w:val="single"/>
        </w:rPr>
        <w:br/>
        <w:br/>
        <w:t>Affirmative Covenants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From and after the Closing Date and for so long as any Lender shall have any Commitment hereunder, any Loan or other Obligation hereunder which is accrued and payable shall remain unpaid or unsatisfied (other than contingent indemnification obligations not yet due and payable, Secured Hedge Agreements and Cash Management Obligations), or any Letter of Credit shall remain outstanding, the Borrower shall, and shall (except in the case of the covenants set forth in </w:t>
      </w:r>
      <w:r>
        <w:rPr>
          <w:rFonts w:ascii="Times New Roman" w:hAnsi="Times New Roman"/>
          <w:color w:val="000000"/>
          <w:sz w:val="22"/>
          <w:u w:val="single"/>
        </w:rPr>
        <w:t>Section 6.01</w:t>
      </w:r>
      <w:r>
        <w:rPr>
          <w:rFonts w:ascii="Times New Roman" w:hAnsi="Times New Roman"/>
          <w:color w:val="000000"/>
          <w:sz w:val="22"/>
        </w:rPr>
        <w:t xml:space="preserve">, </w:t>
      </w:r>
      <w:r>
        <w:rPr>
          <w:rFonts w:ascii="Times New Roman" w:hAnsi="Times New Roman"/>
          <w:color w:val="000000"/>
          <w:sz w:val="22"/>
          <w:u w:val="single"/>
        </w:rPr>
        <w:t>Section 6.02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6.03</w:t>
      </w:r>
      <w:r>
        <w:rPr>
          <w:rFonts w:ascii="Times New Roman" w:hAnsi="Times New Roman"/>
          <w:color w:val="000000"/>
          <w:sz w:val="22"/>
        </w:rPr>
        <w:t>) cause each of its Restricted Subsidiaries 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6.01 </w:t>
      </w:r>
      <w:r>
        <w:rPr>
          <w:rFonts w:ascii="Times New Roman" w:hAnsi="Times New Roman"/>
          <w:b w:val="false"/>
          <w:color w:val="000000"/>
          <w:sz w:val="22"/>
          <w:u w:val="single"/>
        </w:rPr>
        <w:t>Financial Statements</w:t>
      </w:r>
      <w:r>
        <w:rPr>
          <w:rFonts w:ascii="Times New Roman" w:hAnsi="Times New Roman"/>
          <w:b w:val="false"/>
          <w:color w:val="000000"/>
          <w:sz w:val="22"/>
        </w:rPr>
        <w:t>. Deliver to the Administrative Agent for prompt further distribution to each Lender: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within one hundred and twenty (120) days after the end of each fiscal year of the Borrower, a consolidated or combined balance sheet of the Borrower and its Subsidiaries as at the end of such fiscal year, and the related consolidated or combined statements of income or operations, stockholders’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(other than (x) an emphasis of matter to the extent such statement does not qualify such audit in any respect, (y) with respect to, or resulting from, the regularly scheduled maturity of any Indebtedness or (z) a potential or actual default under any financial covenants (including the Total Net Leverage Ratio Financial Covenant)) or any qualification or exception as to the scope of such audit;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within forty five (45) days after the end of each of the first three (3) fiscal quarters of each fiscal year of the Borrower, a consolidated or combined balance sheet of the Borrower and its Subsidiaries as at the end of such fiscal quarter, and the related (A) consolidated or combined statements of income or operations for such fiscal quarter and for the portion of the fiscal year then ended and (B) consolidated or combined statements of cash flows for such fiscal quarter and for the portion of the fiscal year then ended, setting forth in each case in comparative form the income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statement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adjustments and the absence of footnotes;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simultaneously with the delivery of each set of consolidated financial statements referred to in </w:t>
      </w:r>
      <w:r>
        <w:rPr>
          <w:rFonts w:ascii="Times New Roman" w:hAnsi="Times New Roman"/>
          <w:color w:val="000000"/>
          <w:sz w:val="22"/>
          <w:u w:val="single"/>
        </w:rPr>
        <w:t>Section 6.01(a)</w:t>
      </w:r>
      <w:r>
        <w:rPr>
          <w:rFonts w:ascii="Times New Roman" w:hAnsi="Times New Roman"/>
          <w:color w:val="000000"/>
          <w:sz w:val="22"/>
        </w:rPr>
        <w:t xml:space="preserve">, 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the related consolidating financial statements reflecting the adjustments necessary to eliminate the accounts of Unrestricted Subsidiaries (if any) from such consolidated financial statements.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Notwithstanding the foregoing, the obligations in </w:t>
      </w:r>
      <w:r>
        <w:rPr>
          <w:rFonts w:ascii="Times New Roman" w:hAnsi="Times New Roman"/>
          <w:color w:val="000000"/>
          <w:sz w:val="22"/>
          <w:u w:val="single"/>
        </w:rPr>
        <w:t>paragraphs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 xml:space="preserve">may be satisfied with respect to financial information of the Borrower and its Subsidiaries by furnishing (A) the applicable consolidated or combined financial statements of any direct or indirect parent of the Borrower that, directly or indirectly, holds all of the Equity Interests of the Borrower, (B) the Borrower’s (or any direct or indirect parent of the Borrower, as applicable) Form 10-K or 10-Q, as applicable, filed with the SEC or (C) following an election by the Borrower pursuant to the definition of “GAAP,” the applicable financial statements determined in accordance with IFRS;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each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(i) to the extent such information relates to a parent of the Borrower, such information is, at the reasonable request of the Administrative Agent, accompanied by consolidating or combining information that explains in reasonable detail the differences between the information relating to such parent companies (or such parent), on the one hand, and the information relating to the Borrower and its Restricted Subsidiaries on a standalone basis, on the other hand and (ii) to the extent such information is in lieu of information required to be provided under </w:t>
      </w:r>
      <w:r>
        <w:rPr>
          <w:rFonts w:ascii="Times New Roman" w:hAnsi="Times New Roman"/>
          <w:color w:val="000000"/>
          <w:sz w:val="22"/>
          <w:u w:val="single"/>
        </w:rPr>
        <w:t>Section 6.01(a)</w:t>
      </w:r>
      <w:r>
        <w:rPr>
          <w:rFonts w:ascii="Times New Roman" w:hAnsi="Times New Roman"/>
          <w:color w:val="000000"/>
          <w:sz w:val="22"/>
        </w:rPr>
        <w:t>, such materials are accompanied by a report and opinion an independent registered public accounting firm of nationally recognized standing, which report and opinion, subject to the same exceptions set forth above, shall be prepared in accordance with generally accepted auditing standards.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Borrower represents and warrants that it, its controlling Person and any Subsidiary, in each case, if any, either (i) has no registered or publicly traded securities outstanding, or (ii) files their financial statements with the SEC and/or makes their financial statements available to potential holders of its 144A securities, and, accordingly, the Borrower hereby (i) authorizes the Administrative Agent to make the financial statements to be provided under </w:t>
      </w:r>
      <w:r>
        <w:rPr>
          <w:rFonts w:ascii="Times New Roman" w:hAnsi="Times New Roman"/>
          <w:color w:val="000000"/>
          <w:sz w:val="22"/>
          <w:u w:val="single"/>
        </w:rPr>
        <w:t>Section 6.01(a)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above (collectively, “</w:t>
      </w:r>
      <w:r>
        <w:rPr>
          <w:rFonts w:ascii="Times New Roman" w:hAnsi="Times New Roman"/>
          <w:color w:val="000000"/>
          <w:sz w:val="22"/>
          <w:u w:val="single"/>
        </w:rPr>
        <w:t>Borrower Materials</w:t>
      </w:r>
      <w:r>
        <w:rPr>
          <w:rFonts w:ascii="Times New Roman" w:hAnsi="Times New Roman"/>
          <w:color w:val="000000"/>
          <w:sz w:val="20"/>
        </w:rPr>
        <w:t>”</w:t>
      </w:r>
      <w:r>
        <w:rPr>
          <w:rFonts w:ascii="Times New Roman" w:hAnsi="Times New Roman"/>
          <w:color w:val="000000"/>
          <w:sz w:val="22"/>
        </w:rPr>
        <w:t>), along with the Loan Documents, available on IntraLinks or another similar electronic system (the “</w:t>
      </w:r>
      <w:r>
        <w:rPr>
          <w:rFonts w:ascii="Times New Roman" w:hAnsi="Times New Roman"/>
          <w:color w:val="000000"/>
          <w:sz w:val="22"/>
          <w:u w:val="single"/>
        </w:rPr>
        <w:t>Platform</w:t>
      </w:r>
      <w:r>
        <w:rPr>
          <w:rFonts w:ascii="Times New Roman" w:hAnsi="Times New Roman"/>
          <w:color w:val="000000"/>
          <w:sz w:val="20"/>
        </w:rPr>
        <w:t>”</w:t>
      </w:r>
      <w:r>
        <w:rPr>
          <w:rFonts w:ascii="Times New Roman" w:hAnsi="Times New Roman"/>
          <w:color w:val="000000"/>
          <w:sz w:val="22"/>
        </w:rPr>
        <w:t>) to certain of the Lenders (each, a “</w:t>
      </w:r>
      <w:r>
        <w:rPr>
          <w:rFonts w:ascii="Times New Roman" w:hAnsi="Times New Roman"/>
          <w:color w:val="000000"/>
          <w:sz w:val="22"/>
          <w:u w:val="single"/>
        </w:rPr>
        <w:t>Public Lender</w:t>
      </w:r>
      <w:r>
        <w:rPr>
          <w:rFonts w:ascii="Times New Roman" w:hAnsi="Times New Roman"/>
          <w:color w:val="000000"/>
          <w:sz w:val="20"/>
        </w:rPr>
        <w:t>”</w:t>
      </w:r>
      <w:r>
        <w:rPr>
          <w:rFonts w:ascii="Times New Roman" w:hAnsi="Times New Roman"/>
          <w:color w:val="000000"/>
          <w:sz w:val="22"/>
        </w:rPr>
        <w:t>) that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and (ii) agrees that at the time such financial statements are provided hereunder, they shall already have been made available to holders of its securities. The Administrative Agent shall be under no obligation to post any other material to Public Lenders unless the Borrower has expressly represented and warranted to the Administrative Agent in writing that such materials do not constitute material non-public information within the meaning of the federal securities laws or that the Borrower has no outstanding publicly traded securities, including 144A securities.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6.02 </w:t>
      </w:r>
      <w:r>
        <w:rPr>
          <w:rFonts w:ascii="Times New Roman" w:hAnsi="Times New Roman"/>
          <w:b w:val="false"/>
          <w:color w:val="000000"/>
          <w:sz w:val="22"/>
          <w:u w:val="single"/>
        </w:rPr>
        <w:t>Certificates; Other Information</w:t>
      </w:r>
      <w:r>
        <w:rPr>
          <w:rFonts w:ascii="Times New Roman" w:hAnsi="Times New Roman"/>
          <w:b w:val="false"/>
          <w:color w:val="000000"/>
          <w:sz w:val="22"/>
        </w:rPr>
        <w:t>. Deliver to the Administrative Agent for prompt further distribution to each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no later than five (5) Business Days after the delivery of the financial statements referred to in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a duly completed Compliance Certificate signed by a Responsible Officer of the Borrower;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promptly after the same are publicly available, copies of all annual, regular, periodic and special reports and registration statements which the Borrower files with the SEC or with any Governmental Authority that may be substituted therefor (other than amendments to any registration statement (to the extent such registration statement, in the form it became effective, is delivered), exhibits to any registration statement and, if applicable, any registration statement on Form S-8) and in any case not otherwise required to be delivered to the Administrative Agent pursuant hereto;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promptly after the furnishing thereof, copies of any material requests or material notices received by any Loan Party or any of its Restricted Subsidiaries (other than in the ordinary course of business) that could reasonably be expected to result in a Material Adverse Effect;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 together with the delivery of the financial statements pursuant to </w:t>
      </w:r>
      <w:r>
        <w:rPr>
          <w:rFonts w:ascii="Times New Roman" w:hAnsi="Times New Roman"/>
          <w:color w:val="000000"/>
          <w:sz w:val="22"/>
          <w:u w:val="single"/>
        </w:rPr>
        <w:t>Sections 6.01(b)</w:t>
      </w:r>
      <w:r>
        <w:rPr>
          <w:rFonts w:ascii="Times New Roman" w:hAnsi="Times New Roman"/>
          <w:color w:val="000000"/>
          <w:sz w:val="20"/>
        </w:rPr>
        <w:t xml:space="preserve"> </w:t>
      </w:r>
      <w:r>
        <w:rPr>
          <w:rFonts w:ascii="Times New Roman" w:hAnsi="Times New Roman"/>
          <w:color w:val="000000"/>
          <w:sz w:val="22"/>
        </w:rPr>
        <w:t xml:space="preserve">and each related Compliance Certificate pursuant to </w:t>
      </w:r>
      <w:r>
        <w:rPr>
          <w:rFonts w:ascii="Times New Roman" w:hAnsi="Times New Roman"/>
          <w:color w:val="000000"/>
          <w:sz w:val="22"/>
          <w:u w:val="single"/>
        </w:rPr>
        <w:t>Section 6.02(a)</w:t>
      </w:r>
      <w:r>
        <w:rPr>
          <w:rFonts w:ascii="Times New Roman" w:hAnsi="Times New Roman"/>
          <w:color w:val="000000"/>
          <w:sz w:val="22"/>
        </w:rPr>
        <w:t xml:space="preserve">, (x) a report setting forth the information required by Sections 3.03(c) or 3.04(c)(i) of the Security Agreement or confirming that there has been no change in such information since the Closing Date or the date of the last Compliance Certificate, (y) a description of each event, condition or circumstance during the last fiscal quarter covered by such Compliance Certificate requiring a prepayment under </w:t>
      </w:r>
      <w:r>
        <w:rPr>
          <w:rFonts w:ascii="Times New Roman" w:hAnsi="Times New Roman"/>
          <w:color w:val="000000"/>
          <w:sz w:val="22"/>
          <w:u w:val="single"/>
        </w:rPr>
        <w:t>Section 2.05(b)</w:t>
      </w:r>
      <w:r>
        <w:rPr>
          <w:rFonts w:ascii="Times New Roman" w:hAnsi="Times New Roman"/>
          <w:color w:val="000000"/>
          <w:sz w:val="20"/>
        </w:rPr>
        <w:t xml:space="preserve"> </w:t>
      </w:r>
      <w:r>
        <w:rPr>
          <w:rFonts w:ascii="Times New Roman" w:hAnsi="Times New Roman"/>
          <w:color w:val="000000"/>
          <w:sz w:val="22"/>
        </w:rPr>
        <w:t xml:space="preserve">and (z) such other information required by the Compliance Certificate and (ii) together with the delivery of the financial statements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each related Compliance Certificate pursuant to </w:t>
      </w:r>
      <w:r>
        <w:rPr>
          <w:rFonts w:ascii="Times New Roman" w:hAnsi="Times New Roman"/>
          <w:color w:val="000000"/>
          <w:sz w:val="22"/>
          <w:u w:val="single"/>
        </w:rPr>
        <w:t>Section 6.02(a)</w:t>
      </w:r>
      <w:r>
        <w:rPr>
          <w:rFonts w:ascii="Times New Roman" w:hAnsi="Times New Roman"/>
          <w:color w:val="000000"/>
          <w:sz w:val="22"/>
        </w:rPr>
        <w:t>, (x) a list of Subsidiaries that identifies each Subsidiary as a Material Subsidiary, Unrestricted Subsidiaries or an Immaterial Subsidiary as of the date of delivery of such Compliance Certificate or a confirmation that there is no change in such information since the later of the Closing Date or the date of the last such list and (y) such other information required by the Compliance Certificate;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promptly after approval by the board of directors of the Borrower (and, in any event, no later than May 31 of the applicable fiscal year), an annual budget for the relevant fiscal year in form customarily prepared by the Borrower;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promptly, such additional information regarding the business, legal, financial or corporate affairs of any Loan Party or any Material Subsidiary, or compliance with the terms of the Loan Documents, as the Administrative Agent or any Lender through the Administrative Agent may from time to time reasonably request.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6.01(a)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Section 6.02(a)</w:t>
      </w:r>
      <w:r>
        <w:rPr>
          <w:rFonts w:ascii="Times New Roman" w:hAnsi="Times New Roman"/>
          <w:color w:val="000000"/>
          <w:sz w:val="22"/>
        </w:rPr>
        <w:t xml:space="preserve">, or </w:t>
      </w:r>
      <w:r>
        <w:rPr>
          <w:rFonts w:ascii="Times New Roman" w:hAnsi="Times New Roman"/>
          <w:color w:val="000000"/>
          <w:sz w:val="22"/>
          <w:u w:val="single"/>
        </w:rPr>
        <w:t>Section 6.02(c)</w:t>
      </w:r>
      <w:r>
        <w:rPr>
          <w:rFonts w:ascii="Times New Roman" w:hAnsi="Times New Roman"/>
          <w:color w:val="000000"/>
          <w:sz w:val="20"/>
        </w:rPr>
        <w:t xml:space="preserve"> </w:t>
      </w:r>
      <w:r>
        <w:rPr>
          <w:rFonts w:ascii="Times New Roman" w:hAnsi="Times New Roman"/>
          <w:color w:val="000000"/>
          <w:sz w:val="22"/>
        </w:rPr>
        <w:t xml:space="preserve">may be delivered electronically and if so delivered, shall be deemed to have been delivered on the date (i) on which the Borrower emails or posts such documents, or provides a link thereto on the Borrower’s website on the Internet at the website address listed on </w:t>
      </w:r>
      <w:r>
        <w:rPr>
          <w:rFonts w:ascii="Times New Roman" w:hAnsi="Times New Roman"/>
          <w:color w:val="000000"/>
          <w:sz w:val="22"/>
          <w:u w:val="single"/>
        </w:rPr>
        <w:t>Schedule 10.02</w:t>
      </w:r>
      <w:r>
        <w:rPr>
          <w:rFonts w:ascii="Times New Roman" w:hAnsi="Times New Roman"/>
          <w:color w:val="000000"/>
          <w:sz w:val="22"/>
        </w:rPr>
        <w:t xml:space="preserve">; (ii) on which such documents are available on EDGAR or (iii)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upon written request by the Administrative Agent, the Borrower shall deliver paper copies (which may be electronic)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w:t>
      </w:r>
      <w:r>
        <w:rPr>
          <w:rFonts w:ascii="Times New Roman" w:hAnsi="Times New Roman"/>
          <w:color w:val="000000"/>
          <w:sz w:val="22"/>
          <w:u w:val="single"/>
        </w:rPr>
        <w:t>i.e.</w:t>
      </w:r>
      <w:r>
        <w:rPr>
          <w:rFonts w:ascii="Times New Roman" w:hAnsi="Times New Roman"/>
          <w:color w:val="000000"/>
          <w:sz w:val="22"/>
        </w:rPr>
        <w:t>, soft copies) of such documents. Each Lender shall be solely responsible for timely accessing posted documents or requesting delivery of paper copies of such documents from the Administrative Agent and maintaining its copies of such documents.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Borrower hereby acknowledges that (a) the Administrative Agent and/or the Lead Arranger will make available to the Lenders and the L/C Issuers the Borrower Materials by posting such Borrower Materials on IntraLinks or another similar electronic system (the “</w:t>
      </w:r>
      <w:r>
        <w:rPr>
          <w:rFonts w:ascii="Times New Roman" w:hAnsi="Times New Roman"/>
          <w:color w:val="000000"/>
          <w:sz w:val="22"/>
          <w:u w:val="single"/>
        </w:rPr>
        <w:t>Platform</w:t>
      </w:r>
      <w:r>
        <w:rPr>
          <w:rFonts w:ascii="Times New Roman" w:hAnsi="Times New Roman"/>
          <w:color w:val="000000"/>
          <w:sz w:val="20"/>
        </w:rPr>
        <w:t>”</w:t>
      </w:r>
      <w:r>
        <w:rPr>
          <w:rFonts w:ascii="Times New Roman" w:hAnsi="Times New Roman"/>
          <w:color w:val="000000"/>
          <w:sz w:val="22"/>
        </w:rPr>
        <w:t>) and (b) certain of the Lenders (each, a “</w:t>
      </w:r>
      <w:r>
        <w:rPr>
          <w:rFonts w:ascii="Times New Roman" w:hAnsi="Times New Roman"/>
          <w:color w:val="000000"/>
          <w:sz w:val="22"/>
          <w:u w:val="single"/>
        </w:rPr>
        <w:t>Public Lender</w:t>
      </w:r>
      <w:r>
        <w:rPr>
          <w:rFonts w:ascii="Times New Roman" w:hAnsi="Times New Roman"/>
          <w:color w:val="000000"/>
          <w:sz w:val="20"/>
        </w:rPr>
        <w:t>”</w:t>
      </w:r>
      <w:r>
        <w:rPr>
          <w:rFonts w:ascii="Times New Roman" w:hAnsi="Times New Roman"/>
          <w:color w:val="000000"/>
          <w:sz w:val="22"/>
        </w:rPr>
        <w:t xml:space="preserve">)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 the L/C Issuers and the Lenders to treat such Borrower Materials as not containing any material non-public information (although it may be sensitive and proprietary) with respect to the Borrower or its Affiliates or any of their respective securities for purposes of United States Federal and state securities laws (provided, however, that to the extent such Borrower Materials constitute Information, they shall be treated as set forth in </w:t>
      </w:r>
      <w:r>
        <w:rPr>
          <w:rFonts w:ascii="Times New Roman" w:hAnsi="Times New Roman"/>
          <w:color w:val="000000"/>
          <w:sz w:val="22"/>
          <w:u w:val="single"/>
        </w:rPr>
        <w:t>Section 10.08</w:t>
      </w:r>
      <w:r>
        <w:rPr>
          <w:rFonts w:ascii="Times New Roman" w:hAnsi="Times New Roman"/>
          <w:color w:val="000000"/>
          <w:sz w:val="22"/>
        </w:rPr>
        <w:t>); (y) all Borrower Materials marked “PUBLIC” are permitted to be made available through a portion of the Platform designated “Public Side Information;” and (z) the Administrative Agent and the Lead Arranger shall be entitled to treat any Borrower Materials that are not marked “PUBLIC” as being suitable only for posting on a portion of the Platform not designated “Public Side Information.”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6.03 </w:t>
      </w:r>
      <w:r>
        <w:rPr>
          <w:rFonts w:ascii="Times New Roman" w:hAnsi="Times New Roman"/>
          <w:b w:val="false"/>
          <w:color w:val="000000"/>
          <w:sz w:val="22"/>
          <w:u w:val="single"/>
        </w:rPr>
        <w:t>Notices</w:t>
      </w:r>
      <w:r>
        <w:rPr>
          <w:rFonts w:ascii="Times New Roman" w:hAnsi="Times New Roman"/>
          <w:b w:val="false"/>
          <w:color w:val="000000"/>
          <w:sz w:val="22"/>
        </w:rPr>
        <w:t>. Promptly after a Senior Officer obtains actual knowledge thereof, notify the Administrative Agent for prompt further distribution to each Lender: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of the occurrence of any Default or Event of Default, which notice shall specify the nature thereof, the period of existence thereof and what action the Borrower proposes to take with respect thereto;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of any litigation or governmental proceeding (including, without limitation, pursuant to any Environmental Laws) pending against the Borrower or any of the Restricted Subsidiaries that, if determined adversely, would reasonably be expected to result in a Material Adverse Effect;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of the occurrence of any ERISA Event that would reasonably be expected to result in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6.04 </w:t>
      </w:r>
      <w:r>
        <w:rPr>
          <w:rFonts w:ascii="Times New Roman" w:hAnsi="Times New Roman"/>
          <w:b w:val="false"/>
          <w:color w:val="000000"/>
          <w:sz w:val="22"/>
          <w:u w:val="single"/>
        </w:rPr>
        <w:t>Maintenance of Existence</w:t>
      </w:r>
      <w:r>
        <w:rPr>
          <w:rFonts w:ascii="Times New Roman" w:hAnsi="Times New Roman"/>
          <w:b w:val="false"/>
          <w:color w:val="000000"/>
          <w:sz w:val="22"/>
        </w:rPr>
        <w:t xml:space="preserve">. (a) Preserve, renew and maintain in full force and effect its legal existence under the Laws of the jurisdiction of its organization or incorporation and (b) take all reasonable action to maintain all rights (including IP Rights), privileges (including its good standing), permits, licenses and franchises necessary or desirable in the normal conduct of its business, except in the case of </w:t>
      </w:r>
      <w:r>
        <w:rPr>
          <w:rFonts w:ascii="Times New Roman" w:hAnsi="Times New Roman"/>
          <w:b w:val="false"/>
          <w:color w:val="000000"/>
          <w:sz w:val="22"/>
          <w:u w:val="single"/>
        </w:rPr>
        <w:t>clauses (a)</w:t>
      </w:r>
      <w:r>
        <w:rPr>
          <w:rFonts w:ascii="Times New Roman" w:hAnsi="Times New Roman"/>
          <w:color w:val="000000"/>
          <w:sz w:val="20"/>
        </w:rPr>
        <w:t xml:space="preserve"> </w:t>
      </w:r>
      <w:r>
        <w:rPr>
          <w:rFonts w:ascii="Times New Roman" w:hAnsi="Times New Roman"/>
          <w:b w:val="false"/>
          <w:color w:val="000000"/>
          <w:sz w:val="22"/>
        </w:rPr>
        <w:t xml:space="preserve">(other than with respect to the Borrower) and </w:t>
      </w:r>
      <w:r>
        <w:rPr>
          <w:rFonts w:ascii="Times New Roman" w:hAnsi="Times New Roman"/>
          <w:b w:val="false"/>
          <w:color w:val="000000"/>
          <w:sz w:val="22"/>
          <w:u w:val="single"/>
        </w:rPr>
        <w:t>(b)</w:t>
      </w:r>
      <w:r>
        <w:rPr>
          <w:rFonts w:ascii="Times New Roman" w:hAnsi="Times New Roman"/>
          <w:b w:val="false"/>
          <w:color w:val="000000"/>
          <w:sz w:val="22"/>
        </w:rPr>
        <w:t xml:space="preserve">, (i) to the extent that failure to do so could not reasonably be expected to have a Material Adverse Effect or (ii) pursuant to a transaction permitted by </w:t>
      </w:r>
      <w:r>
        <w:rPr>
          <w:rFonts w:ascii="Times New Roman" w:hAnsi="Times New Roman"/>
          <w:b w:val="false"/>
          <w:color w:val="000000"/>
          <w:sz w:val="22"/>
          <w:u w:val="single"/>
        </w:rPr>
        <w:t>Section 7.04</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Section 7.05</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6.05 </w:t>
      </w:r>
      <w:r>
        <w:rPr>
          <w:rFonts w:ascii="Times New Roman" w:hAnsi="Times New Roman"/>
          <w:b w:val="false"/>
          <w:color w:val="000000"/>
          <w:sz w:val="22"/>
          <w:u w:val="single"/>
        </w:rPr>
        <w:t>Maintenance of Properties</w:t>
      </w:r>
      <w:r>
        <w:rPr>
          <w:rFonts w:ascii="Times New Roman" w:hAnsi="Times New Roman"/>
          <w:b w:val="false"/>
          <w:color w:val="000000"/>
          <w:sz w:val="22"/>
        </w:rPr>
        <w:t>. Except if the failure to do so could not, individually or in the aggregate, reasonably be expected to have a Material Adverse Effect, (a) maintain, preserve and protect the Mortgaged Property and all of its material properties and equipment necessary in the operation of its business in good working order, repair and condition, ordinary wear and tear excepted and casualty or condemnation excepted, and (b) make all necessary renewals, replacements, modifications, improvements, upgrades, extensions and additions thereof or thereto in accordance with prudent industry practice.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6.06 </w:t>
      </w:r>
      <w:r>
        <w:rPr>
          <w:rFonts w:ascii="Times New Roman" w:hAnsi="Times New Roman"/>
          <w:b w:val="false"/>
          <w:color w:val="000000"/>
          <w:sz w:val="22"/>
          <w:u w:val="single"/>
        </w:rPr>
        <w:t>Maintenance of Insurance</w:t>
      </w:r>
      <w:r>
        <w:rPr>
          <w:rFonts w:ascii="Times New Roman" w:hAnsi="Times New Roman"/>
          <w:b w:val="false"/>
          <w:color w:val="000000"/>
          <w:sz w:val="22"/>
        </w:rPr>
        <w:t>. Maintain with financially sound and reputable insurance companies,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its Restricted Subsidiaries) as are customarily carried under similar circumstances by such other Persons. Subject to the time periods provided in Section 6.13(c), each such policy of insurance (other than directors and officers policies, workers compensation policies and business interruption insurance), to the extent covering Collateral and to the extent the Collateral Agent can be granted an insurable interest therein, shall (i) in the case of each such general liability policy, name the Collateral Agent, on behalf of the Secured Parties, as an additional insured thereunder as its interests may appear, and (ii) in the case of each such casualty insurance policy, contain a loss payable clause or mortgage endorsement that names the Collateral Agent, on behalf of the Secured Parties as the loss payee or mortgagee thereunder. If any portion of any Mortgaged Property is at any time located in an area identified by the Federal Emergency Management Agency (or any successor agency) as a special flood hazard area(and such real estate described in this proviso, a “</w:t>
      </w:r>
      <w:r>
        <w:rPr>
          <w:rFonts w:ascii="Times New Roman" w:hAnsi="Times New Roman"/>
          <w:b w:val="false"/>
          <w:color w:val="000000"/>
          <w:sz w:val="22"/>
          <w:u w:val="single"/>
        </w:rPr>
        <w:t>Flood Zone Property</w:t>
      </w:r>
      <w:r>
        <w:rPr>
          <w:rFonts w:ascii="Times New Roman" w:hAnsi="Times New Roman"/>
          <w:color w:val="000000"/>
          <w:sz w:val="20"/>
        </w:rPr>
        <w:t>”</w:t>
      </w:r>
      <w:r>
        <w:rPr>
          <w:rFonts w:ascii="Times New Roman" w:hAnsi="Times New Roman"/>
          <w:b w:val="false"/>
          <w:color w:val="000000"/>
          <w:sz w:val="22"/>
        </w:rPr>
        <w:t>) following its inclusions as Collateral hereunder (a “</w:t>
      </w:r>
      <w:r>
        <w:rPr>
          <w:rFonts w:ascii="Times New Roman" w:hAnsi="Times New Roman"/>
          <w:b w:val="false"/>
          <w:color w:val="000000"/>
          <w:sz w:val="22"/>
          <w:u w:val="single"/>
        </w:rPr>
        <w:t>Redesignated Property</w:t>
      </w:r>
      <w:r>
        <w:rPr>
          <w:rFonts w:ascii="Times New Roman" w:hAnsi="Times New Roman"/>
          <w:color w:val="000000"/>
          <w:sz w:val="20"/>
        </w:rPr>
        <w:t>”</w:t>
      </w:r>
      <w:r>
        <w:rPr>
          <w:rFonts w:ascii="Times New Roman" w:hAnsi="Times New Roman"/>
          <w:b w:val="false"/>
          <w:color w:val="000000"/>
          <w:sz w:val="22"/>
        </w:rPr>
        <w:t>), the Collateral Agent shall release the Mortgage on such Redesignated Property and the Borrower shall be cooperate with Collateral Agent to cause such release. As a condition precedent to any amendment to this Agreement pursuant to which any increase, extension, or renewal of Loans is contemplated, the Borrower shall cause to be delivered to the Administrative Agent for any Mortgaged Property, a completed “life of the loan” Federal Emergency Management Agency Standard Flood Hazard Determination, duly executed and acknowledged by the appropriate Loan Parties.</w:t>
      </w:r>
    </w:p>
    <w:p>
      <w:pPr>
        <w:pStyle w:val="TextBody"/>
        <w:bidi w:val="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6.07 </w:t>
      </w:r>
      <w:r>
        <w:rPr>
          <w:rFonts w:ascii="Times New Roman" w:hAnsi="Times New Roman"/>
          <w:b w:val="false"/>
          <w:color w:val="000000"/>
          <w:sz w:val="22"/>
          <w:u w:val="single"/>
        </w:rPr>
        <w:t>Compliance with Laws</w:t>
      </w:r>
      <w:r>
        <w:rPr>
          <w:rFonts w:ascii="Times New Roman" w:hAnsi="Times New Roman"/>
          <w:b w:val="false"/>
          <w:color w:val="000000"/>
          <w:sz w:val="22"/>
        </w:rPr>
        <w:t>. Comply in all respects (or, solely with respect to Sanctions Laws and Regulations, in all material respects) with the requirements of all Laws and all orders, writs, injunctions, decrees and judgments applicable to it or to its business or property (including without limitation all Laws applicable and pertaining to Environmental Laws, ERISA, Sanctions Laws and Regulations, the FCPA and other applicable Anti-Corruption Laws), except (other than with respect to Sanctions Laws and Regulations) if the failure to comply therewith could not, individually or in the aggregate, reasonably be expected to have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6.08 </w:t>
      </w:r>
      <w:r>
        <w:rPr>
          <w:rFonts w:ascii="Times New Roman" w:hAnsi="Times New Roman"/>
          <w:b w:val="false"/>
          <w:color w:val="000000"/>
          <w:sz w:val="22"/>
          <w:u w:val="single"/>
        </w:rPr>
        <w:t>Privacy and Data Security</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val="false"/>
          <w:color w:val="000000"/>
          <w:sz w:val="22"/>
        </w:rPr>
        <w:t>Comply in all material respects with all Privacy and Data Security Requirements.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6.09 </w:t>
      </w:r>
      <w:r>
        <w:rPr>
          <w:rFonts w:ascii="Times New Roman" w:hAnsi="Times New Roman"/>
          <w:b w:val="false"/>
          <w:color w:val="000000"/>
          <w:sz w:val="22"/>
          <w:u w:val="single"/>
        </w:rPr>
        <w:t>Books and Records</w:t>
      </w:r>
      <w:r>
        <w:rPr>
          <w:rFonts w:ascii="Times New Roman" w:hAnsi="Times New Roman"/>
          <w:b w:val="false"/>
          <w:color w:val="000000"/>
          <w:sz w:val="22"/>
        </w:rPr>
        <w:t>.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Restricted Subsidiary, as the case may be.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6.10 </w:t>
      </w:r>
      <w:r>
        <w:rPr>
          <w:rFonts w:ascii="Times New Roman" w:hAnsi="Times New Roman"/>
          <w:b w:val="false"/>
          <w:color w:val="000000"/>
          <w:sz w:val="22"/>
          <w:u w:val="single"/>
        </w:rPr>
        <w:t>Inspection Rights</w:t>
      </w:r>
      <w:r>
        <w:rPr>
          <w:rFonts w:ascii="Times New Roman" w:hAnsi="Times New Roman"/>
          <w:b w:val="false"/>
          <w:color w:val="000000"/>
          <w:sz w:val="22"/>
        </w:rPr>
        <w:t xml:space="preserve">. Permit representatives and independent contractors of the Administrative Agent and each Lender to visit and inspect any of its properties and to discuss its affairs, finances and accounts with its directors, managers, officers, and independent public accountants, all at the reasonable expense of the Borrower and at such reasonable times during normal business hours and as often as may be reasonably desired, upon reasonable advance notice to the Borrower;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excluding any such visits and inspections during the continuation of an Event of Default, only the Administrative Agent on behalf of the Lenders may exercise rights of the Administrative Agent and the Lenders under this </w:t>
      </w:r>
      <w:r>
        <w:rPr>
          <w:rFonts w:ascii="Times New Roman" w:hAnsi="Times New Roman"/>
          <w:b w:val="false"/>
          <w:color w:val="000000"/>
          <w:sz w:val="22"/>
          <w:u w:val="single"/>
        </w:rPr>
        <w:t>Section 6.09</w:t>
      </w:r>
      <w:r>
        <w:rPr>
          <w:rFonts w:ascii="Times New Roman" w:hAnsi="Times New Roman"/>
          <w:color w:val="000000"/>
          <w:sz w:val="20"/>
        </w:rPr>
        <w:t xml:space="preserve"> </w:t>
      </w:r>
      <w:r>
        <w:rPr>
          <w:rFonts w:ascii="Times New Roman" w:hAnsi="Times New Roman"/>
          <w:b w:val="false"/>
          <w:color w:val="000000"/>
          <w:sz w:val="22"/>
        </w:rPr>
        <w:t xml:space="preserve">and the Administrative Agent shall not exercise such rights more often than two (2) times during any calendar year absent the existence of an Event of Default and only one (1) such time shall be at the Borrower’s expense; </w:t>
      </w:r>
      <w:r>
        <w:rPr>
          <w:rFonts w:ascii="Times New Roman" w:hAnsi="Times New Roman"/>
          <w:b w:val="false"/>
          <w:color w:val="000000"/>
          <w:sz w:val="22"/>
          <w:u w:val="single"/>
        </w:rPr>
        <w:t>provided</w:t>
      </w:r>
      <w:r>
        <w:rPr>
          <w:rFonts w:ascii="Times New Roman" w:hAnsi="Times New Roman"/>
          <w:b w:val="false"/>
          <w:color w:val="000000"/>
          <w:sz w:val="22"/>
        </w:rPr>
        <w:t>,</w:t>
      </w:r>
      <w:r>
        <w:rPr>
          <w:rFonts w:ascii="Times New Roman" w:hAnsi="Times New Roman"/>
          <w:color w:val="000000"/>
          <w:sz w:val="20"/>
          <w:u w:val="single"/>
        </w:rPr>
        <w:t xml:space="preserve"> </w:t>
      </w:r>
      <w:r>
        <w:rPr>
          <w:rFonts w:ascii="Times New Roman" w:hAnsi="Times New Roman"/>
          <w:b w:val="false"/>
          <w:color w:val="000000"/>
          <w:sz w:val="22"/>
          <w:u w:val="single"/>
        </w:rPr>
        <w:t>further</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when an Event of Default has occurred and is continuing, the Administrative Agent or any Lender (or any of their respective representatives or independent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Notwithstanding anything to the contrary in this </w:t>
      </w:r>
      <w:r>
        <w:rPr>
          <w:rFonts w:ascii="Times New Roman" w:hAnsi="Times New Roman"/>
          <w:b w:val="false"/>
          <w:color w:val="000000"/>
          <w:sz w:val="22"/>
          <w:u w:val="single"/>
        </w:rPr>
        <w:t>Section 6.09</w:t>
      </w:r>
      <w:r>
        <w:rPr>
          <w:rFonts w:ascii="Times New Roman" w:hAnsi="Times New Roman"/>
          <w:b w:val="false"/>
          <w:color w:val="000000"/>
          <w:sz w:val="22"/>
        </w:rPr>
        <w:t>, neither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6.11 </w:t>
      </w:r>
      <w:r>
        <w:rPr>
          <w:rFonts w:ascii="Times New Roman" w:hAnsi="Times New Roman"/>
          <w:b w:val="false"/>
          <w:color w:val="000000"/>
          <w:sz w:val="22"/>
          <w:u w:val="single"/>
        </w:rPr>
        <w:t>Covenant to Guarantee Obligations and Give Security</w:t>
      </w:r>
      <w:r>
        <w:rPr>
          <w:rFonts w:ascii="Times New Roman" w:hAnsi="Times New Roman"/>
          <w:b w:val="false"/>
          <w:color w:val="000000"/>
          <w:sz w:val="22"/>
        </w:rPr>
        <w:t>. At the Borrower’s expense, take all action necessary or reasonably requested by the Administrative Agent to ensure that the Collateral and Guarantee Requirement continues to be satisfied, including:</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upon the formation or acquisition of any new direct or indirect Wholly Owned Subsidiary (in each case, other than an Excluded Subsidiary) by any Loan Party, the designation in accordance with </w:t>
      </w:r>
      <w:r>
        <w:rPr>
          <w:rFonts w:ascii="Times New Roman" w:hAnsi="Times New Roman"/>
          <w:color w:val="000000"/>
          <w:sz w:val="22"/>
          <w:u w:val="single"/>
        </w:rPr>
        <w:t>Section 6.13</w:t>
      </w:r>
      <w:r>
        <w:rPr>
          <w:rFonts w:ascii="Times New Roman" w:hAnsi="Times New Roman"/>
          <w:color w:val="000000"/>
          <w:sz w:val="20"/>
        </w:rPr>
        <w:t xml:space="preserve"> </w:t>
      </w:r>
      <w:r>
        <w:rPr>
          <w:rFonts w:ascii="Times New Roman" w:hAnsi="Times New Roman"/>
          <w:color w:val="000000"/>
          <w:sz w:val="22"/>
        </w:rPr>
        <w:t>of any existing direct or indirect Wholly Owned Subsidiary as a Restricted Subsidiary or any Excluded Subsidiary ceasing to be an Excluded Subsidiary or designation of any Subsidiary as a Guarantor pursuant to the definition of Guarantors:</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within sixty (60) days after such formation, acquisition, designation or occurrence or such longer period as the Administrative Agent may agree in its reasonable discretion:</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(A) Cause each Restricted Subsidiary to furnish to the Administrative Agent a description of the Material Real Properties owned by such Restricted Subsidiary in detail reasonably satisfactory to the Administrative Agent;</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(B) cause each such Restricted Subsidiary to duly execute and deliver to the Administrative Agent or the Collateral Agent (as appropriate) Mortgages, pledges, guarantees, assignments, Security Agreement Supplements, deeds of hypothec and other security agreements and documents or joinders or supplements thereto (and, with respect to Mortgages, deliver the documents listed in </w:t>
      </w:r>
      <w:r>
        <w:rPr>
          <w:rFonts w:ascii="Times New Roman" w:hAnsi="Times New Roman"/>
          <w:color w:val="000000"/>
          <w:sz w:val="22"/>
          <w:u w:val="single"/>
        </w:rPr>
        <w:t>paragraph (f)</w:t>
      </w:r>
      <w:r>
        <w:rPr>
          <w:rFonts w:ascii="Times New Roman" w:hAnsi="Times New Roman"/>
          <w:color w:val="000000"/>
          <w:sz w:val="20"/>
        </w:rPr>
        <w:t xml:space="preserve"> </w:t>
      </w:r>
      <w:r>
        <w:rPr>
          <w:rFonts w:ascii="Times New Roman" w:hAnsi="Times New Roman"/>
          <w:color w:val="000000"/>
          <w:sz w:val="22"/>
        </w:rPr>
        <w:t xml:space="preserve">of the definition of Collateral and Guarantee Requirement), as reasonably requested by and in form and substance reasonably satisfactory to the Administrative Agent and the Collateral Agent (to the extent applicable, consistent with the Mortgages, Security Agreement and other Collateral Documents in effect on the Closing Date), in each case granting Liens required by the Collateral and Guarantee Requirement;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notwithstanding the foregoing, any such actions required under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with respect to Material Real Property shall be subject to the time period set forth in </w:t>
      </w:r>
      <w:r>
        <w:rPr>
          <w:rFonts w:ascii="Times New Roman" w:hAnsi="Times New Roman"/>
          <w:color w:val="000000"/>
          <w:sz w:val="22"/>
          <w:u w:val="single"/>
        </w:rPr>
        <w:t>Section 6.11(b)</w:t>
      </w:r>
      <w:r>
        <w:rPr>
          <w:rFonts w:ascii="Times New Roman" w:hAnsi="Times New Roman"/>
          <w:color w:val="000000"/>
          <w:sz w:val="22"/>
        </w:rPr>
        <w:t>;</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(C) cause each such Restricted Subsidiary to deliver any and all certificates representing Equity Interests (to the extent certificated) that are required to be pledged pursuant to the Collateral and Guarantee Requirement, accompanied by undated stock powers or other appropriate instruments of transfer executed in blank and (if applicable) instruments evidencing the Indebtedness held by such Restricted Subsidiary and required to be pledged pursuant to the Collateral Documents, indorsed in blank to the Collateral Agent; and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(D) take and cause such Restricted Subsidiary and each direct or indirect parent of such Restricted Subsidiary that is required to become a Guarantor pursuant to the Collateral and Guarantee Requirement to take whatever action (including the filing of financing statements and delivery of stock and membership interest certificates) may be necessary in the reasonable opinion of the Collateral Agent to vest in the Collateral Agent (or in any representative of the Collateral Agent designated by it) valid and perfected Liens with the priority required by the Collateral and Guarantee Requirement, enforceable against all third parties in accordance with their terms, except as such enforceability may be limited by Debtor Relief Laws and by general principles of equity (regardless of whether enforcement is sought in equity or at law);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as promptly as practicable after the request therefor by the Collateral Agent and to the extent in the Borrower’s possession, deliver to the Collateral Agent with respect to each Material Real Property, any title reports, title insurance policies and surveys or environmental assessment reports;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any Foreign Subsidiary the requirements of this </w:t>
      </w:r>
      <w:r>
        <w:rPr>
          <w:rFonts w:ascii="Times New Roman" w:hAnsi="Times New Roman"/>
          <w:color w:val="000000"/>
          <w:sz w:val="22"/>
          <w:u w:val="single"/>
        </w:rPr>
        <w:t>Section 6.11</w:t>
      </w:r>
      <w:r>
        <w:rPr>
          <w:rFonts w:ascii="Times New Roman" w:hAnsi="Times New Roman"/>
          <w:color w:val="000000"/>
          <w:sz w:val="20"/>
        </w:rPr>
        <w:t xml:space="preserve"> </w:t>
      </w:r>
      <w:r>
        <w:rPr>
          <w:rFonts w:ascii="Times New Roman" w:hAnsi="Times New Roman"/>
          <w:color w:val="000000"/>
          <w:sz w:val="22"/>
        </w:rPr>
        <w:t>shall be satisfied prior to it becoming a Guarantor;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after the Closing Date, promptly after the acquisition of any Material Real Property by any Loan Party, if such Material Real Property shall not already be subject to a perfected Lien (subject to Permitted Liens) under the Collateral Documents with the priority required pursuant to the Collateral and Guarantee Requirement and is required to be, the Borrower shall give notice thereof to the Administrative Agent and within ninety (90) days (with such extensions as agreed by the Administrative Agent in its reasonable discretion) of the date of such acquisition shall cause such real property to be subjected to a Lien to the extent required by the Collateral and Guarantee Requirement and will take, or cause the relevant Loan Party to take, such actions as shall be necessary or reasonably requested by the Administrative Agent or the Collateral Agent to grant and perfect or record such Lien or otherwise in connection with, including, as applicable, the actions referred to in </w:t>
      </w:r>
      <w:r>
        <w:rPr>
          <w:rFonts w:ascii="Times New Roman" w:hAnsi="Times New Roman"/>
          <w:color w:val="000000"/>
          <w:sz w:val="22"/>
          <w:u w:val="single"/>
        </w:rPr>
        <w:t>paragraph (f)</w:t>
      </w:r>
      <w:r>
        <w:rPr>
          <w:rFonts w:ascii="Times New Roman" w:hAnsi="Times New Roman"/>
          <w:color w:val="000000"/>
          <w:sz w:val="20"/>
        </w:rPr>
        <w:t xml:space="preserve"> </w:t>
      </w:r>
      <w:r>
        <w:rPr>
          <w:rFonts w:ascii="Times New Roman" w:hAnsi="Times New Roman"/>
          <w:color w:val="000000"/>
          <w:sz w:val="22"/>
        </w:rPr>
        <w:t xml:space="preserve">of the definition of “Collateral and Guarantee Requirement” and shall, within ninety (90) days after the request therefor by the Administrative Agent or the Collateral Agent (or such longer period as the Administrative Agent may agree in its reasonable discretion and subject to </w:t>
      </w:r>
      <w:r>
        <w:rPr>
          <w:rFonts w:ascii="Times New Roman" w:hAnsi="Times New Roman"/>
          <w:color w:val="000000"/>
          <w:sz w:val="22"/>
          <w:u w:val="single"/>
        </w:rPr>
        <w:t>clause (a)(i)(B)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6.11</w:t>
      </w:r>
      <w:r>
        <w:rPr>
          <w:rFonts w:ascii="Times New Roman" w:hAnsi="Times New Roman"/>
          <w:color w:val="000000"/>
          <w:sz w:val="22"/>
        </w:rPr>
        <w:t xml:space="preserve">) and confirmation from the Administrative Agent and the Lenders that flood due diligence and compliance as required by </w:t>
      </w:r>
      <w:r>
        <w:rPr>
          <w:rFonts w:ascii="Times New Roman" w:hAnsi="Times New Roman"/>
          <w:color w:val="000000"/>
          <w:sz w:val="22"/>
          <w:u w:val="single"/>
        </w:rPr>
        <w:t>Section 6.06</w:t>
      </w:r>
      <w:r>
        <w:rPr>
          <w:rFonts w:ascii="Times New Roman" w:hAnsi="Times New Roman"/>
          <w:color w:val="000000"/>
          <w:sz w:val="20"/>
        </w:rPr>
        <w:t xml:space="preserve"> </w:t>
      </w:r>
      <w:r>
        <w:rPr>
          <w:rFonts w:ascii="Times New Roman" w:hAnsi="Times New Roman"/>
          <w:color w:val="000000"/>
          <w:sz w:val="22"/>
        </w:rPr>
        <w:t>hereto have been completed, deliver to the Administrative Agent and the Collateral Agent signed copies of opinions, addressed to the Administrative Agent, the Collateral Agent and the other Secured Parties regarding the corporate formation, existence and good standing of the applicable mortgagor, and such other matters as may be reasonably requested by the Administrative Agent or the Collateral Agent, and each such opinion shall be in form and substance reasonably acceptable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Administrative Agent shall not be required to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Administrative Agent has completed its Patriot Act searches, OFAC/PEP searches and customary individual background checks for such Subsidiary, the results of which shall be satisfactory to Administrative Agent.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6.12 </w:t>
      </w:r>
      <w:r>
        <w:rPr>
          <w:rFonts w:ascii="Times New Roman" w:hAnsi="Times New Roman"/>
          <w:b w:val="false"/>
          <w:color w:val="000000"/>
          <w:sz w:val="22"/>
          <w:u w:val="single"/>
        </w:rPr>
        <w:t>Use of Proceeds</w:t>
      </w:r>
      <w:r>
        <w:rPr>
          <w:rFonts w:ascii="Times New Roman" w:hAnsi="Times New Roman"/>
          <w:b w:val="false"/>
          <w:color w:val="000000"/>
          <w:sz w:val="22"/>
        </w:rPr>
        <w:t xml:space="preserve">. Use the proceeds of any Credit Extension, whether directly or indirectly, in a manner consistent with the uses set forth in the Preliminary Statements to this Agreement and </w:t>
      </w:r>
      <w:r>
        <w:rPr>
          <w:rFonts w:ascii="Times New Roman" w:hAnsi="Times New Roman"/>
          <w:b w:val="false"/>
          <w:color w:val="000000"/>
          <w:sz w:val="22"/>
          <w:u w:val="single"/>
        </w:rPr>
        <w:t>Section 5.19</w:t>
      </w:r>
      <w:r>
        <w:rPr>
          <w:rFonts w:ascii="Times New Roman" w:hAnsi="Times New Roman"/>
          <w:b w:val="false"/>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6.13 </w:t>
      </w:r>
      <w:r>
        <w:rPr>
          <w:rFonts w:ascii="Times New Roman" w:hAnsi="Times New Roman"/>
          <w:b w:val="false"/>
          <w:color w:val="000000"/>
          <w:sz w:val="22"/>
          <w:u w:val="single"/>
        </w:rPr>
        <w:t>Further Assurances and Post-Closing Covenants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Promptly upon reasonable request by the Administrative Agent or the Collateral Agent (i) correct any material defect or error that may be discovered in the execution, acknowledgment, filing or recordation of any Collateral Document or other document or instrument relating to any Collateral, and (ii) subject to the limitations set forth in the Collateral and Guarantee Requirement, do, execute, acknowledge, deliver, record, re-record, file, re-file, register and re-register any and all such further acts, deeds, certificates, assurances and other instruments as the Administrative Agent or the Collateral Agent may reasonably request from time to time in order to carry out more effectively the purposes of this Agreement and the Collateral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notwithstanding anything to the contrary contained in this Agreement or any other Collateral Document, nothing in this Agreement or any other Collateral Document shall require the Borrower or Loan Party to make any filings or take any actions to record or to perfect the Collateral Agent’s security interest in (i) any IP Rights other than UCC filings and the filing of documents effecting the recordation of security interests in the United States Copyright Office or United States Patent and Trademark Office or (ii) any non-United States IP Rights;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Deliver to the Administrative Agent counterparts of a Control Agreement with respect to each deposit account or securities account (other than any Excluded Accounts) owned by any Loan Party (x) on the Closing Date, within the applicable time period specified on </w:t>
      </w:r>
      <w:r>
        <w:rPr>
          <w:rFonts w:ascii="Times New Roman" w:hAnsi="Times New Roman"/>
          <w:color w:val="000000"/>
          <w:sz w:val="22"/>
          <w:u w:val="single"/>
        </w:rPr>
        <w:t>Schedule 6.13</w:t>
      </w:r>
      <w:r>
        <w:rPr>
          <w:rFonts w:ascii="Times New Roman" w:hAnsi="Times New Roman"/>
          <w:color w:val="000000"/>
          <w:sz w:val="20"/>
        </w:rPr>
        <w:t xml:space="preserve"> </w:t>
      </w:r>
      <w:r>
        <w:rPr>
          <w:rFonts w:ascii="Times New Roman" w:hAnsi="Times New Roman"/>
          <w:color w:val="000000"/>
          <w:sz w:val="22"/>
        </w:rPr>
        <w:t>hereto and (y) thereafter, within sixty (60) days after such deposit account or securities account is opened or acquired;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Within the time periods specified on </w:t>
      </w:r>
      <w:r>
        <w:rPr>
          <w:rFonts w:ascii="Times New Roman" w:hAnsi="Times New Roman"/>
          <w:color w:val="000000"/>
          <w:sz w:val="22"/>
          <w:u w:val="single"/>
        </w:rPr>
        <w:t>Schedule 6.13</w:t>
      </w:r>
      <w:r>
        <w:rPr>
          <w:rFonts w:ascii="Times New Roman" w:hAnsi="Times New Roman"/>
          <w:color w:val="000000"/>
          <w:sz w:val="20"/>
        </w:rPr>
        <w:t xml:space="preserve"> </w:t>
      </w:r>
      <w:r>
        <w:rPr>
          <w:rFonts w:ascii="Times New Roman" w:hAnsi="Times New Roman"/>
          <w:color w:val="000000"/>
          <w:sz w:val="22"/>
        </w:rPr>
        <w:t xml:space="preserve">hereto (as each may be extended by the Administrative Agent in its reasonable discretion), complete such undertakings as are set forth on </w:t>
      </w:r>
      <w:r>
        <w:rPr>
          <w:rFonts w:ascii="Times New Roman" w:hAnsi="Times New Roman"/>
          <w:color w:val="000000"/>
          <w:sz w:val="22"/>
          <w:u w:val="single"/>
        </w:rPr>
        <w:t>Schedule 6.13</w:t>
      </w:r>
      <w:r>
        <w:rPr>
          <w:rFonts w:ascii="Times New Roman" w:hAnsi="Times New Roman"/>
          <w:color w:val="000000"/>
          <w:sz w:val="20"/>
        </w:rPr>
        <w:t xml:space="preserve"> </w:t>
      </w:r>
      <w:r>
        <w:rPr>
          <w:rFonts w:ascii="Times New Roman" w:hAnsi="Times New Roman"/>
          <w:color w:val="000000"/>
          <w:sz w:val="22"/>
        </w:rPr>
        <w: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6.14 </w:t>
      </w:r>
      <w:r>
        <w:rPr>
          <w:rFonts w:ascii="Times New Roman" w:hAnsi="Times New Roman"/>
          <w:b w:val="false"/>
          <w:color w:val="000000"/>
          <w:sz w:val="22"/>
          <w:u w:val="single"/>
        </w:rPr>
        <w:t>Designation of Subsidiaries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Subject to </w:t>
      </w:r>
      <w:r>
        <w:rPr>
          <w:rFonts w:ascii="Times New Roman" w:hAnsi="Times New Roman"/>
          <w:color w:val="000000"/>
          <w:sz w:val="22"/>
          <w:u w:val="single"/>
        </w:rPr>
        <w:t>Section 6.13(b</w:t>
      </w:r>
      <w:r>
        <w:rPr>
          <w:rFonts w:ascii="Times New Roman" w:hAnsi="Times New Roman"/>
          <w:color w:val="000000"/>
          <w:sz w:val="22"/>
        </w:rPr>
        <w:t xml:space="preserve">) below, at the election of the Borrower, at any time designate any Restricted Subsidiary (other than the Borrower) as an Unrestricted Subsidiary or any Unrestricted Subsidiary as a Restricted Subsidiary. The designation of any Restricted Subsidiary as an Unrestricted Subsidiary shall constitute an Investment by the Borrower therein at the date of designation in an amount equal to the fair market value of the Borrower’s investment therein. The designation of any Unrestricted Subsidiary as a Restricted Subsidiary shall constitute the incurrence at the time of designation of any Indebtedness or Liens of such Subsidiary existing at such time. No Subsidiary that is designated as a “restricted subsidiary” for purposes of any Indebtedness incurred pursuant to </w:t>
      </w:r>
      <w:r>
        <w:rPr>
          <w:rFonts w:ascii="Times New Roman" w:hAnsi="Times New Roman"/>
          <w:color w:val="000000"/>
          <w:sz w:val="22"/>
          <w:u w:val="single"/>
        </w:rPr>
        <w:t>Section 7.03(r)</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7.03(t)</w:t>
      </w:r>
      <w:r>
        <w:rPr>
          <w:rFonts w:ascii="Times New Roman" w:hAnsi="Times New Roman"/>
          <w:color w:val="000000"/>
          <w:sz w:val="22"/>
        </w:rPr>
        <w:t>, any Incremental Facility or any Permitted Debt Exchange Notes may be designated as an Unrestricted Subsidiary hereunder.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The Borrower may not (x) designate any Restricted Subsidiary as an Unrestricted Subsidiary, or (y) designate an Unrestricted Subsidiary as a Restricted Subsidiary, in each case unless:</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after giving effect to any such designation or re-designation (including after the reclassification of debt of or Liens on assets of the applicable Subsidiary), no Event of Default shall have occurred and be continuing; and</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(ii) in the case of clause (x) only, (A) the Subsidiary to be so designated does not (directly, or indirectly through its Subsidiaries) own any Equity Interests or Indebtedness of, or own or hold any Lien on any property of the Borrower or Restricted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sz w:val="20"/>
        </w:rPr>
      </w:pPr>
      <w:r>
        <w:rPr>
          <w:rFonts w:ascii="Times New Roman" w:hAnsi="Times New Roman"/>
          <w:color w:val="000000"/>
          <w:sz w:val="22"/>
        </w:rPr>
        <w:t>Subsidiary (unless such Restricted Subsidiary is also designed as an Unrestricted Subsidiary) and (B) neither the Borrower nor any Restricted Subsidiary shall at any time be directly or indirectly liable for any Indebtedness that provides that the holder thereof may (with the passage of time or notice or both) declare a default thereon or cause the payment thereof to be accelerated or payable prior to its stated maturity upon the occurrence of a default with respect to any Indebtedness, Lien or other obligation of any Unrestricted Subsidiary (including any right to take enforcement action against such Unrestricted Subsidiary), (C) the revenues and total assets of each Unrestricted Subsidiary shall not be more than 5% of the consolidated revenues or consolidated total assets of the Borrower and its Restricted Subsidiaries and the revenues and total assets of all Unrestricted Subsidiaries shall not be more than 10% of the consolidated revenues or consolidated total assets of the Borrower and its Restricted Subsidiaries and (D) if such Unrestricted Subsidiary or any of its Subsidiaries owns or exclusively licenses any Material Intellectual Property.</w:t>
      </w:r>
      <w:r>
        <w:rPr>
          <w:rFonts w:ascii="Times New Roman" w:hAnsi="Times New Roman"/>
          <w:color w:val="000000"/>
          <w:sz w:val="20"/>
        </w:rPr>
        <w:t xml:space="preserve">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6.15 </w:t>
      </w:r>
      <w:r>
        <w:rPr>
          <w:rFonts w:ascii="Times New Roman" w:hAnsi="Times New Roman"/>
          <w:b w:val="false"/>
          <w:color w:val="000000"/>
          <w:sz w:val="22"/>
          <w:u w:val="single"/>
        </w:rPr>
        <w:t>Payment of Taxes</w:t>
      </w:r>
      <w:r>
        <w:rPr>
          <w:rFonts w:ascii="Times New Roman" w:hAnsi="Times New Roman"/>
          <w:b w:val="false"/>
          <w:color w:val="000000"/>
          <w:sz w:val="22"/>
        </w:rPr>
        <w:t xml:space="preserve">. The Borrower will pay and discharge, and will cause each of the Restricted Subsidiaries to pay and discharge, all Taxes imposed upon it or upon its income or profits, or upon any properties belonging to it and all lawful claims which, if unpaid, may reasonably be expected to become a lien or charge upon any properties of the Borrower or any of the Restricted Subsidiaries not otherwise permitted under this Agreement;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neither the Borrower nor any of the Restricted Subsidiaries shall be required to pay any such Tax or claim which is being contested in good faith and by proper proceedings if it has maintained adequate reserves with respect thereto in accordance with GAAP or which would not reasonably be expected, individually or in the aggregate, to constitute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6.16 </w:t>
      </w:r>
      <w:r>
        <w:rPr>
          <w:rFonts w:ascii="Times New Roman" w:hAnsi="Times New Roman"/>
          <w:b w:val="false"/>
          <w:color w:val="000000"/>
          <w:sz w:val="22"/>
          <w:u w:val="single"/>
        </w:rPr>
        <w:t>Nature of Business</w:t>
      </w:r>
      <w:r>
        <w:rPr>
          <w:rFonts w:ascii="Times New Roman" w:hAnsi="Times New Roman"/>
          <w:b w:val="false"/>
          <w:color w:val="000000"/>
          <w:sz w:val="22"/>
        </w:rPr>
        <w:t>. The Borrower and its Restricted Subsidiaries will engage only in material lines of business substantially similar to those lines of business conducted by the Borrower and its Restricted Subsidiaries on the Closing Date or any business reasonably related, complementary or ancillary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6.17 </w:t>
      </w:r>
      <w:r>
        <w:rPr>
          <w:rFonts w:ascii="Times New Roman" w:hAnsi="Times New Roman"/>
          <w:b w:val="false"/>
          <w:color w:val="000000"/>
          <w:sz w:val="22"/>
          <w:u w:val="single"/>
        </w:rPr>
        <w:t>Sanctions Laws and Regulations and Anti-Corruption Laws</w:t>
      </w:r>
      <w:r>
        <w:rPr>
          <w:rFonts w:ascii="Times New Roman" w:hAnsi="Times New Roman"/>
          <w:b w:val="false"/>
          <w:color w:val="000000"/>
          <w:sz w:val="22"/>
        </w:rPr>
        <w:t>. Each Loan Party will, and will cause each of its Restricted Subsidiaries to, (a) comply with all applicable Sanctions Laws and Regulations and (b) comply in all material respects with all Anti-Corruption Laws. Each of the Loan Parties and its Restricted Subsidiaries shall implement and maintain in effect policies and procedures reasonably designed to ensure compliance by the Loan Parties and their Subsidiaries and their respective directors, officers, employees, agents and Affiliates with Sanctions Laws and Regulations and Anti-Corruption Laws.</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VII</w:t>
      </w:r>
      <w:r>
        <w:rPr>
          <w:rFonts w:ascii="Times New Roman" w:hAnsi="Times New Roman"/>
          <w:b w:val="false"/>
          <w:color w:val="000000"/>
          <w:sz w:val="22"/>
          <w:u w:val="single"/>
        </w:rPr>
        <w:br/>
        <w:br/>
        <w:t>Negative Covenants</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From and after the Closing Date and so long as any Lender shall have any Commitment hereunder, any Loan or other Obligation hereunder which is accrued and payable shall remain unpaid or unsatisfied (other than contingent indemnification obligations not yet due and payable, Cash Management Obligations and Secured Hedge Agreements or any Letter of Credit remaining outstanding), the Borrower shall not, nor shall the Borrower permit any of its Restricted Subsidiaries 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7.01 </w:t>
      </w:r>
      <w:r>
        <w:rPr>
          <w:rFonts w:ascii="Times New Roman" w:hAnsi="Times New Roman"/>
          <w:b w:val="false"/>
          <w:color w:val="000000"/>
          <w:sz w:val="22"/>
          <w:u w:val="single"/>
        </w:rPr>
        <w:t>Liens</w:t>
      </w:r>
      <w:r>
        <w:rPr>
          <w:rFonts w:ascii="Times New Roman" w:hAnsi="Times New Roman"/>
          <w:b w:val="false"/>
          <w:color w:val="000000"/>
          <w:sz w:val="22"/>
        </w:rPr>
        <w:t>. Create, incur, assume or suffer to exist any Lien upon any of its property, assets or revenues, whether now owned or hereafter acquired, other than the following: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Liens pursuant to the Loan Documents securing the Obligations (including obligations arising under Secured Hedge Agreements to the extent set forth in the definition of “Obligations”);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Liens existing on the date hereof and, to the extent securing Indebtedness in excess of $1,000,000 in the aggregate, set forth on </w:t>
      </w:r>
      <w:r>
        <w:rPr>
          <w:rFonts w:ascii="Times New Roman" w:hAnsi="Times New Roman"/>
          <w:color w:val="000000"/>
          <w:sz w:val="22"/>
          <w:u w:val="single"/>
        </w:rPr>
        <w:t>Schedule 7.01(b)</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Liens for taxes, assessments or governmental charges (i) which are not overdue, (ii) which are being contested in good faith and by appropriate proceedings diligently conducted, if adequate reserves with respect thereto are maintained on the books of the applicable Person to the extent required in accordance with GAAP or (iii) which are not material;</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statutory or common law Liens of landlords, carriers, warehousemen, mechanics, materialmen, repairmen, construction contractors or other like Liens arising in the ordinary course of business (other than a Lien imposed under Section 430(k) of the Code or Section 303(k) of ERISA) (i) which secure amounts not overdue for a period of more than thirty (30) days or if more than thirty (30) days overdue, are unfiled (or, if, filed have been discharged or stayed) and no other action has been taken to enforce such Lien or (ii) which are being contested in good faith and by appropriate proceedings diligently conducted, if adequate reserves with respect thereto are maintained on the books of the applicable Person to the extent required in accordance with GAAP;</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(i) pledges, deposits or Liens arising as a matter of law in the ordinary course of business in connection with workers’ compensation, payroll taxes,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Liens incurred in the ordinary course of business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easements, rights-of-way, restrictions, covenants, conditions, encroachments, protrusions and other similar encumbrances and minor title defects affecting real property which, in the aggregate, do not in any case materially interfere with the ordinary conduct of the business of the Borrower or any Restricted Subsidiary and any exception on the Mortgage Policies issued to the Collateral Agent in connection with the Mortgaged Property;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Liens securing judgments for the payment of money not constituting an Event of Default under </w:t>
      </w:r>
      <w:r>
        <w:rPr>
          <w:rFonts w:ascii="Times New Roman" w:hAnsi="Times New Roman"/>
          <w:color w:val="000000"/>
          <w:sz w:val="22"/>
          <w:u w:val="single"/>
        </w:rPr>
        <w:t>Section 8.01(h)</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Liens securing Indebtedness permitted under </w:t>
      </w:r>
      <w:r>
        <w:rPr>
          <w:rFonts w:ascii="Times New Roman" w:hAnsi="Times New Roman"/>
          <w:color w:val="000000"/>
          <w:sz w:val="22"/>
          <w:u w:val="single"/>
        </w:rPr>
        <w:t>Section 7.03(f)</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Liens attach concurrently with or within two hundred and seventy (270) days after the acquisition, construction, repair, replacement or improvement (as applicable) of the property subject to such Liens, (ii) such Liens do not at any time encumber any property other than the property financed by such Indebtedness, replacements thereof and additions and accessions to such property and the proceeds and the products thereof and customary security deposits, and (iii) with respect to Capitalized Leases, such Liens do not at any time extend to or cover any assets (except for additions and accessions to such assets, replacements and products thereof and customary security deposits) other than the assets subject to such Capitalized Leases;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individual</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financings of equipment provided by one lender may be cross-collateralized to other financings of equipment provided by such lender;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(j) leases, licenses, subleases or sublicenses and Liens on the property (including licenses of Intellectual Property (limited, in the case of Material Intellectual Property, to non-exclusive licenses with respect thereto and exclusive licenses which do not interfere in any material respect with the ordinary conduct of business by Borrower and its Restricted Subsidiaries) covered thereby, in each case, granted to others in the ordinary course of business which do not (i) interfere in any material respect with the business of the Borrower or any Restricted Subsidiary, taken as a whole, or (ii) secure any Indebtedness;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(k) Liens in favor of customs and revenue authorities arising as a matter of law to secure payment of customs duties in connection with the importation of goods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(l) Liens (i) of a collection bank (including those arising under Section 4-210 of the Uniform Commercial Code) on the items in the course of collection and (ii) in favor of a banking or other financial institution (x) arising as a matter of law encumbering deposits or other funds maintained with a financial institution (including the right of set off) and which are within the general parameters customary in the banking industry and/or (y) in respect of opening and/or maintaining accounts of the Borrower or its Restricted Subsidiaries held outside of the United States which are customary in such jurisdiction;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(m) Liens (i) on cash advances in favor of the seller of any property to be acquired in an Investment permitted pursuant to </w:t>
      </w:r>
      <w:r>
        <w:rPr>
          <w:rFonts w:ascii="Times New Roman" w:hAnsi="Times New Roman"/>
          <w:color w:val="000000"/>
          <w:sz w:val="22"/>
          <w:u w:val="single"/>
        </w:rPr>
        <w:t>Section 7.02(j)</w:t>
      </w:r>
      <w:r>
        <w:rPr>
          <w:rFonts w:ascii="Times New Roman" w:hAnsi="Times New Roman"/>
          <w:color w:val="000000"/>
          <w:sz w:val="22"/>
        </w:rPr>
        <w:t xml:space="preserve">, </w:t>
      </w:r>
      <w:r>
        <w:rPr>
          <w:rFonts w:ascii="Times New Roman" w:hAnsi="Times New Roman"/>
          <w:color w:val="000000"/>
          <w:sz w:val="22"/>
          <w:u w:val="single"/>
        </w:rPr>
        <w:t>(n)</w:t>
      </w:r>
      <w:r>
        <w:rPr>
          <w:rFonts w:ascii="Times New Roman" w:hAnsi="Times New Roman"/>
          <w:color w:val="000000"/>
          <w:sz w:val="22"/>
        </w:rPr>
        <w:t xml:space="preserve">, </w:t>
      </w:r>
      <w:r>
        <w:rPr>
          <w:rFonts w:ascii="Times New Roman" w:hAnsi="Times New Roman"/>
          <w:color w:val="000000"/>
          <w:sz w:val="22"/>
          <w:u w:val="single"/>
        </w:rPr>
        <w:t>(t)</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 xml:space="preserve">to be applied against the purchase price for such Investment and (ii) consisting of an agreement to Dispose of any property in a Disposition permitted under </w:t>
      </w:r>
      <w:r>
        <w:rPr>
          <w:rFonts w:ascii="Times New Roman" w:hAnsi="Times New Roman"/>
          <w:color w:val="000000"/>
          <w:sz w:val="22"/>
          <w:u w:val="single"/>
        </w:rPr>
        <w:t>Section 7.05</w:t>
      </w:r>
      <w:r>
        <w:rPr>
          <w:rFonts w:ascii="Times New Roman" w:hAnsi="Times New Roman"/>
          <w:color w:val="000000"/>
          <w:sz w:val="22"/>
        </w:rPr>
        <w:t>, in each case, solely to the extent such Investment or Disposition, as the case may be, would have been permitted on the date of the creation of such Lien;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(n) Liens in favor of the Borrower or a Restricted Subsidiary securing Indebtedness permitted under </w:t>
      </w:r>
      <w:r>
        <w:rPr>
          <w:rFonts w:ascii="Times New Roman" w:hAnsi="Times New Roman"/>
          <w:color w:val="000000"/>
          <w:sz w:val="22"/>
          <w:u w:val="single"/>
        </w:rPr>
        <w:t>Section 7.03(e)</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solely with respect to Indebtedness required to be Subordinated Debt under </w:t>
      </w:r>
      <w:r>
        <w:rPr>
          <w:rFonts w:ascii="Times New Roman" w:hAnsi="Times New Roman"/>
          <w:color w:val="000000"/>
          <w:sz w:val="22"/>
          <w:u w:val="single"/>
        </w:rPr>
        <w:t>Section 7.03(e)</w:t>
      </w:r>
      <w:r>
        <w:rPr>
          <w:rFonts w:ascii="Times New Roman" w:hAnsi="Times New Roman"/>
          <w:color w:val="000000"/>
          <w:sz w:val="22"/>
        </w:rPr>
        <w:t>, such Lien shall be subordinated to the Liens on the Collateral securing the Obligations to the same extent);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(o) Liens existing on property at the time of its acquisition or existing on the property of any Person at the time such Person becomes a Restricted Subsidiary (other than by designation as a Restricted Subsidiary pursuant to </w:t>
      </w:r>
      <w:r>
        <w:rPr>
          <w:rFonts w:ascii="Times New Roman" w:hAnsi="Times New Roman"/>
          <w:color w:val="000000"/>
          <w:sz w:val="22"/>
          <w:u w:val="single"/>
        </w:rPr>
        <w:t>Section 6.14</w:t>
      </w:r>
      <w:r>
        <w:rPr>
          <w:rFonts w:ascii="Times New Roman" w:hAnsi="Times New Roman"/>
          <w:color w:val="000000"/>
          <w:sz w:val="22"/>
        </w:rPr>
        <w:t xml:space="preserve">), in each case after the date 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Lien was not created in contemplation of such acquisition or such Person becoming a Restricted Subsidiary, (ii) such Lien does not extend to or cover any other assets or property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(iii) the Indebtedness secured thereby is permitted under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(p) any interest or title of a lessor or sublessor under leases or subleases entered into by the Borrower or any of their Restricted Subsidiaries in the ordinary course of business;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(q) Liens, if any, arising out of conditional sale, title retention, consignment or similar arrangements for sale of goods entered into by the Borrower or any of its Restricted Subsidiaries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(r) Liens that are contractual rights of set-off (i) relating to the establishment of depository relations with banks or other financial institutions not given in connection with the incurrence of Indebtedness, (ii) relating to pooled deposit or sweep accounts of the Borrower or any of its Restricted Subsidiary to permit satisfaction of overdraft or similar obligations incurred in the ordinary course of business of the Borrower or its Restricted Subsidiaries or (iii) relating to purchase orders and other agreements entered into with customers of the Borrower or any Restricted Subsidiary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(s) Liens, if any, arising from precautionary Uniform Commercial Code financing statement filings;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(t) Liens on insurance policies and the proceeds thereof securing the financing of the premiums with respect thereto;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(u) any zoning or similar law or right reserved to or vested in any Governmental Authority to control or regulate the use of any real property that does not materially interfere with the ordinary conduct of the business of the Borrower or any of its Restricted Subsidiaries;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(v) Liens on specific items of inventory or other goods and the proceeds thereof securing such Person’s obligations in respect of documentary letters of credit issued for the account of such Person to facilitate the purchase, shipment or storage of such inventory or goods;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(w) the modification, replacement, renewal or extension of any Lien permitted by </w:t>
      </w:r>
      <w:r>
        <w:rPr>
          <w:rFonts w:ascii="Times New Roman" w:hAnsi="Times New Roman"/>
          <w:color w:val="000000"/>
          <w:sz w:val="22"/>
          <w:u w:val="single"/>
        </w:rPr>
        <w:t>clauses (b)</w:t>
      </w:r>
      <w:r>
        <w:rPr>
          <w:rFonts w:ascii="Times New Roman" w:hAnsi="Times New Roman"/>
          <w:color w:val="000000"/>
          <w:sz w:val="22"/>
        </w:rPr>
        <w:t xml:space="preserve">, </w:t>
      </w:r>
      <w:r>
        <w:rPr>
          <w:rFonts w:ascii="Times New Roman" w:hAnsi="Times New Roman"/>
          <w:color w:val="000000"/>
          <w:sz w:val="22"/>
          <w:u w:val="single"/>
        </w:rPr>
        <w:t>(i)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(o)</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7.01</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the Lien does not extend to any additional property other than (A) after-acquired property that is affixed or incorporated into the property covered by such Lien or financed by Indebtedness permitted under </w:t>
      </w:r>
      <w:r>
        <w:rPr>
          <w:rFonts w:ascii="Times New Roman" w:hAnsi="Times New Roman"/>
          <w:color w:val="000000"/>
          <w:sz w:val="22"/>
          <w:u w:val="single"/>
        </w:rPr>
        <w:t>Section 7.03</w:t>
      </w:r>
      <w:r>
        <w:rPr>
          <w:rFonts w:ascii="Times New Roman" w:hAnsi="Times New Roman"/>
          <w:color w:val="000000"/>
          <w:sz w:val="22"/>
        </w:rPr>
        <w:t xml:space="preserve">, and (B) proceeds and products thereof; and (ii) the renewal, extension or refinancing of the obligations secured or benefited by such Liens is permitted by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 ground leases in respect of real property on which facilities owned or leased by the Borrower or any of its Restricted Subsidiaries are located;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(y) Liens on property of a Non-Loan Party securing Indebtedness or other obligations of such Non-Loan Party;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(z) Liens solely on any cash earnest money deposits made by the Borrower or any of their Restricted Subsidiaries in connection with any letter of intent or purchase agreement permitted hereunder;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(aa) Liens securing Indebtedness permitted pursuant to </w:t>
      </w:r>
      <w:r>
        <w:rPr>
          <w:rFonts w:ascii="Times New Roman" w:hAnsi="Times New Roman"/>
          <w:color w:val="000000"/>
          <w:sz w:val="22"/>
          <w:u w:val="single"/>
        </w:rPr>
        <w:t>Section 7.03(t)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Liens shall be a Lien ranking junior to the Lien securing the Obligations (but may not be secured by any assets that are not Collateral) and, in any such case, the beneficiaries thereof (or an agent on their behalf) shall have entered into an Acceptable Intercreditor Agreement pursuant to the terms thereof;</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(bb) Liens (i) on cash collateral securing Indebtedness permitted pursuant to </w:t>
      </w:r>
      <w:r>
        <w:rPr>
          <w:rFonts w:ascii="Times New Roman" w:hAnsi="Times New Roman"/>
          <w:color w:val="000000"/>
          <w:sz w:val="22"/>
          <w:u w:val="single"/>
        </w:rPr>
        <w:t>Section 7.03(g)</w:t>
      </w:r>
      <w:r>
        <w:rPr>
          <w:rFonts w:ascii="Times New Roman" w:hAnsi="Times New Roman"/>
          <w:color w:val="000000"/>
          <w:sz w:val="20"/>
        </w:rPr>
        <w:t xml:space="preserve"> </w:t>
      </w:r>
      <w:r>
        <w:rPr>
          <w:rFonts w:ascii="Times New Roman" w:hAnsi="Times New Roman"/>
          <w:color w:val="000000"/>
          <w:sz w:val="22"/>
        </w:rPr>
        <w:t xml:space="preserve">and (ii) securing Indebtedness permitted pursuant to </w:t>
      </w:r>
      <w:r>
        <w:rPr>
          <w:rFonts w:ascii="Times New Roman" w:hAnsi="Times New Roman"/>
          <w:color w:val="000000"/>
          <w:sz w:val="22"/>
          <w:u w:val="single"/>
        </w:rPr>
        <w:t>Section 7.03(m)</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Liens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with respect to (i) the “Obligations” in respect of obligations under any Secured Hedge Agreement with a Hedge Bank listed under clause (ii) of the definition of “Hedge Bank” and (ii) the “Obligations” in respect of Cash Management Obligations with a Cash Management Bank listed under clause (ii) of the definition of “Cash Management Bank”, shall not exceed $20,000,000 in the aggregate at any time outstanding;</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(cc) other Liens securing Indebtedness or other obligations in an aggregate principal amount at any time outstanding not to exceed the greater of (x) $35,000,000 and (y) 35% of Consolidated EBITDA of the Borrower for the most recently ended Test Period calculated on a Pro Forma Basis;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(dd) Liens securing Indebtedness permitted pursuant to </w:t>
      </w:r>
      <w:r>
        <w:rPr>
          <w:rFonts w:ascii="Times New Roman" w:hAnsi="Times New Roman"/>
          <w:color w:val="000000"/>
          <w:sz w:val="22"/>
          <w:u w:val="single"/>
        </w:rPr>
        <w:t>Section 7.03(w)</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(y)</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Liens securing Indebtedness permitted pursuant to </w:t>
      </w:r>
      <w:r>
        <w:rPr>
          <w:rFonts w:ascii="Times New Roman" w:hAnsi="Times New Roman"/>
          <w:color w:val="000000"/>
          <w:sz w:val="22"/>
          <w:u w:val="single"/>
        </w:rPr>
        <w:t>Section 7.03(w)</w:t>
      </w:r>
      <w:r>
        <w:rPr>
          <w:rFonts w:ascii="Times New Roman" w:hAnsi="Times New Roman"/>
          <w:color w:val="000000"/>
          <w:sz w:val="22"/>
        </w:rPr>
        <w:t xml:space="preserve">, such Liens shall be a Lien on the Collateral ranking junior to the Lien securing the Obligations (but may not be secured by any assets that are not Collateral) and in the case of Liens securing Indebtedness permitted pursuant to </w:t>
      </w:r>
      <w:r>
        <w:rPr>
          <w:rFonts w:ascii="Times New Roman" w:hAnsi="Times New Roman"/>
          <w:color w:val="000000"/>
          <w:sz w:val="22"/>
          <w:u w:val="single"/>
        </w:rPr>
        <w:t>Section 7.03(y)</w:t>
      </w:r>
      <w:r>
        <w:rPr>
          <w:rFonts w:ascii="Times New Roman" w:hAnsi="Times New Roman"/>
          <w:color w:val="000000"/>
          <w:sz w:val="22"/>
        </w:rPr>
        <w:t xml:space="preserve">, such Liens may be either a Lien on the Collateral that is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with the Lien securing the Obligations or a Lien on the Collateral ranking junior to the Lien securing the Obligations (but may not be secured by any assets that are not Collateral) and, in any such case, the beneficiaries thereof (or an agent on their behalf) shall have entered into an Acceptable Intercreditor Agreement pursuant to the terms thereof;</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(ee) Liens securing Indebtedness permitted pursuant to </w:t>
      </w:r>
      <w:r>
        <w:rPr>
          <w:rFonts w:ascii="Times New Roman" w:hAnsi="Times New Roman"/>
          <w:color w:val="000000"/>
          <w:sz w:val="22"/>
          <w:u w:val="single"/>
        </w:rPr>
        <w:t>Section 7.03(v)</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such Liens shall only secure the obligations secured on the date of the related Permitted Acquisition or other Investment and such liens shall not extend to any other property of the Borrower and its Restricted Subsidiaries and (ii) to the extent such Liens are on the Collateral, the beneficiaries thereof (or an agent on their behalf) shall have entered into an Acceptable Intercreditor Agreement pursuant to the terms thereof;</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(ff) [reserved];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(gg) with respect to any Foreign Subsidiary, other Liens and privileges arising mandatorily by Law;</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(hh) Liens securing Indebtedness permitted pursuant to </w:t>
      </w:r>
      <w:r>
        <w:rPr>
          <w:rFonts w:ascii="Times New Roman" w:hAnsi="Times New Roman"/>
          <w:color w:val="000000"/>
          <w:sz w:val="22"/>
          <w:u w:val="single"/>
        </w:rPr>
        <w:t>Section 7.03(b)</w:t>
      </w:r>
      <w:r>
        <w:rPr>
          <w:rFonts w:ascii="Times New Roman" w:hAnsi="Times New Roman"/>
          <w:color w:val="000000"/>
          <w:sz w:val="20"/>
        </w:rPr>
        <w:t xml:space="preserve"> </w:t>
      </w:r>
      <w:r>
        <w:rPr>
          <w:rFonts w:ascii="Times New Roman" w:hAnsi="Times New Roman"/>
          <w:color w:val="000000"/>
          <w:sz w:val="22"/>
        </w:rPr>
        <w:t>not to exceed an aggregate amount equal to 105% of the face value of such Indebtedness;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(ii) Liens securing Indebtedness permitted pursuant to </w:t>
      </w:r>
      <w:r>
        <w:rPr>
          <w:rFonts w:ascii="Times New Roman" w:hAnsi="Times New Roman"/>
          <w:color w:val="000000"/>
          <w:sz w:val="22"/>
          <w:u w:val="single"/>
        </w:rPr>
        <w:t>Section 7.03(r)</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to the extent such Liens are on the Collateral, (i) such Liens must be junior to the Lien securing the Obligations and (ii) the beneficiaries thereof (or an agent on their behalf) shall have entered into an Acceptable Intercreditor Agreement pursuant to the terms thereof;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(jj) Liens on the Equity Interests of JV Entities securing financing arrangements for the benefit of the applicable JV Entity that are not otherwise prohibited under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7.02 </w:t>
      </w:r>
      <w:r>
        <w:rPr>
          <w:rFonts w:ascii="Times New Roman" w:hAnsi="Times New Roman"/>
          <w:b w:val="false"/>
          <w:color w:val="000000"/>
          <w:sz w:val="22"/>
          <w:u w:val="single"/>
        </w:rPr>
        <w:t>Investments</w:t>
      </w:r>
      <w:r>
        <w:rPr>
          <w:rFonts w:ascii="Times New Roman" w:hAnsi="Times New Roman"/>
          <w:b w:val="false"/>
          <w:color w:val="000000"/>
          <w:sz w:val="22"/>
        </w:rPr>
        <w:t>. Make any Investments, except: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Investments by the Borrower or a Restricted Subsidiary in assets that were Cash Equivalents when such Investment was made;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loans or advances to officers, directors, managers, partners and employees of the Borrower (or any direct or indirect parent thereof) or the Restricted Subsidiaries (i) for reasonable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and customary business-related travel, entertainment, relocation, customary fringe benefits and analogous ordinary business purposes, (ii) in connection with such Person’s purchase of Equity Interests of the Borrower (or any direct or indirect parent thereof or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proceeds of any such loans and advances shall be contributed to the Borrower in cash as common equity) and (iii) for purposes not described in the foregoing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in an aggregate principal amount outstanding not to exceed $10,000,000;</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asset purchases (including purchases of inventory, supplies and materials) and the licensing or contribution of Intellectual Property pursuant to joint marketing arrangements with other Persons, in each case in the ordinary course of business;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Investments (i) by any Loan Party in any other Loan Party, (ii) by any Non-Loan Party in any Loan Party and (iii) by any Non-Loan Party in any other Non-Loan Party and (iv) by any Loan Party in any Non-Loan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amount of such Investments in Non-Loan Parties pursuant to </w:t>
      </w:r>
      <w:r>
        <w:rPr>
          <w:rFonts w:ascii="Times New Roman" w:hAnsi="Times New Roman"/>
          <w:color w:val="000000"/>
          <w:sz w:val="22"/>
          <w:u w:val="single"/>
        </w:rPr>
        <w:t>clause (iv)</w:t>
      </w:r>
      <w:r>
        <w:rPr>
          <w:rFonts w:ascii="Times New Roman" w:hAnsi="Times New Roman"/>
          <w:color w:val="000000"/>
          <w:sz w:val="20"/>
        </w:rPr>
        <w:t xml:space="preserve"> </w:t>
      </w:r>
      <w:r>
        <w:rPr>
          <w:rFonts w:ascii="Times New Roman" w:hAnsi="Times New Roman"/>
          <w:color w:val="000000"/>
          <w:sz w:val="22"/>
        </w:rPr>
        <w:t xml:space="preserve">(other than such Investments that are made in the ordinary course of business) shall not exceed an aggregate amount, as valued at cost at the time each such Investment is made and including all related commitments for future Investments, equal to (A) the greater of (x) $40,000,000 and (y) 40% of Consolidated EBITDA of the Borrower for the most recently ended Test Period calculated on a Pro Forma Basis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an amount equal to any returns of capital or sale proceeds actually received in cash in respect of any such Investments (which amount shall not exceed the amount of such Investment valued at cost at the time such Investment was made);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Investments consisting of Liens, Indebtedness, fundamental changes, Dispositions and Restricted Payments (other than, in each case, by reference to this </w:t>
      </w:r>
      <w:r>
        <w:rPr>
          <w:rFonts w:ascii="Times New Roman" w:hAnsi="Times New Roman"/>
          <w:color w:val="000000"/>
          <w:sz w:val="22"/>
          <w:u w:val="single"/>
        </w:rPr>
        <w:t>Section 7.02</w:t>
      </w:r>
      <w:r>
        <w:rPr>
          <w:rFonts w:ascii="Times New Roman" w:hAnsi="Times New Roman"/>
          <w:color w:val="000000"/>
          <w:sz w:val="22"/>
        </w:rPr>
        <w:t xml:space="preserve">) permitted under </w:t>
      </w:r>
      <w:r>
        <w:rPr>
          <w:rFonts w:ascii="Times New Roman" w:hAnsi="Times New Roman"/>
          <w:color w:val="000000"/>
          <w:sz w:val="22"/>
          <w:u w:val="single"/>
        </w:rPr>
        <w:t>Section 7.01</w:t>
      </w:r>
      <w:r>
        <w:rPr>
          <w:rFonts w:ascii="Times New Roman" w:hAnsi="Times New Roman"/>
          <w:color w:val="000000"/>
          <w:sz w:val="22"/>
        </w:rPr>
        <w:t xml:space="preserve">, </w:t>
      </w:r>
      <w:r>
        <w:rPr>
          <w:rFonts w:ascii="Times New Roman" w:hAnsi="Times New Roman"/>
          <w:color w:val="000000"/>
          <w:sz w:val="22"/>
          <w:u w:val="single"/>
        </w:rPr>
        <w:t>Section 7.03</w:t>
      </w:r>
      <w:r>
        <w:rPr>
          <w:rFonts w:ascii="Times New Roman" w:hAnsi="Times New Roman"/>
          <w:color w:val="000000"/>
          <w:sz w:val="22"/>
        </w:rPr>
        <w:t xml:space="preserve">, </w:t>
      </w:r>
      <w:r>
        <w:rPr>
          <w:rFonts w:ascii="Times New Roman" w:hAnsi="Times New Roman"/>
          <w:color w:val="000000"/>
          <w:sz w:val="22"/>
          <w:u w:val="single"/>
        </w:rPr>
        <w:t>Section 7.04</w:t>
      </w:r>
      <w:r>
        <w:rPr>
          <w:rFonts w:ascii="Times New Roman" w:hAnsi="Times New Roman"/>
          <w:color w:val="000000"/>
          <w:sz w:val="22"/>
        </w:rPr>
        <w:t xml:space="preserve">,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7.06</w:t>
      </w:r>
      <w:r>
        <w:rPr>
          <w:rFonts w:ascii="Times New Roman" w:hAnsi="Times New Roman"/>
          <w:color w:val="000000"/>
          <w:sz w:val="22"/>
        </w:rPr>
        <w:t>, respectively;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Investments existing on the Closing Date and any modification, replacement, renewal, reinvestment or extension of any such Investments;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amount of any Investment permitted pursuant to this </w:t>
      </w:r>
      <w:r>
        <w:rPr>
          <w:rFonts w:ascii="Times New Roman" w:hAnsi="Times New Roman"/>
          <w:color w:val="000000"/>
          <w:sz w:val="22"/>
          <w:u w:val="single"/>
        </w:rPr>
        <w:t>Section 7.02(g)</w:t>
      </w:r>
      <w:r>
        <w:rPr>
          <w:rFonts w:ascii="Times New Roman" w:hAnsi="Times New Roman"/>
          <w:color w:val="000000"/>
          <w:sz w:val="20"/>
        </w:rPr>
        <w:t xml:space="preserve"> </w:t>
      </w:r>
      <w:r>
        <w:rPr>
          <w:rFonts w:ascii="Times New Roman" w:hAnsi="Times New Roman"/>
          <w:color w:val="000000"/>
          <w:sz w:val="22"/>
        </w:rPr>
        <w:t xml:space="preserve">is not increased from the amount of such Investment on the Closing Date except pursuant to the terms of such Investment as of the Closing Date or as otherwise permitted by this </w:t>
      </w:r>
      <w:r>
        <w:rPr>
          <w:rFonts w:ascii="Times New Roman" w:hAnsi="Times New Roman"/>
          <w:color w:val="000000"/>
          <w:sz w:val="22"/>
          <w:u w:val="single"/>
        </w:rPr>
        <w:t>Section 7.02</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Investments in Swap Contracts permitted under </w:t>
      </w:r>
      <w:r>
        <w:rPr>
          <w:rFonts w:ascii="Times New Roman" w:hAnsi="Times New Roman"/>
          <w:color w:val="000000"/>
          <w:sz w:val="22"/>
          <w:u w:val="single"/>
        </w:rPr>
        <w:t>Section 7.03(g)</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promissory notes and other noncash consideration received in connection with Dispositions permitted by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(j) the purchase or other acquisition of property and assets or businesses of any Person or of assets constituting a business unit, a line of business or division of such Person, or Equity Interests in a Person that, upon the consummation thereof, will be (or such assets will be contributed to) a Restricted Subsidiary of the Borrower (including as a result of a merger, amalgamation or consolidation) (each, a “</w:t>
      </w:r>
      <w:r>
        <w:rPr>
          <w:rFonts w:ascii="Times New Roman" w:hAnsi="Times New Roman"/>
          <w:color w:val="000000"/>
          <w:sz w:val="22"/>
          <w:u w:val="single"/>
        </w:rPr>
        <w:t>Permitted Acquisition</w:t>
      </w:r>
      <w:r>
        <w:rPr>
          <w:rFonts w:ascii="Times New Roman" w:hAnsi="Times New Roman"/>
          <w:color w:val="000000"/>
          <w:sz w:val="20"/>
        </w:rPr>
        <w:t>”</w:t>
      </w:r>
      <w:r>
        <w:rPr>
          <w:rFonts w:ascii="Times New Roman" w:hAnsi="Times New Roman"/>
          <w:color w:val="000000"/>
          <w:sz w:val="22"/>
        </w:rPr>
        <w:t xml:space="preserve">) and together with any Investments in Restricted Subsidiaries necessary to consummate a transaction otherwise permitted by this </w:t>
      </w:r>
      <w:r>
        <w:rPr>
          <w:rFonts w:ascii="Times New Roman" w:hAnsi="Times New Roman"/>
          <w:color w:val="000000"/>
          <w:sz w:val="22"/>
          <w:u w:val="single"/>
        </w:rPr>
        <w:t>clause (j)</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except in the case of a Limited Condition Transaction (in which case, compliance with this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shall be determined in accordance with </w:t>
      </w:r>
      <w:r>
        <w:rPr>
          <w:rFonts w:ascii="Times New Roman" w:hAnsi="Times New Roman"/>
          <w:color w:val="000000"/>
          <w:sz w:val="22"/>
          <w:u w:val="single"/>
        </w:rPr>
        <w:t>Section 1.09(a)</w:t>
      </w:r>
      <w:r>
        <w:rPr>
          <w:rFonts w:ascii="Times New Roman" w:hAnsi="Times New Roman"/>
          <w:color w:val="000000"/>
          <w:sz w:val="22"/>
        </w:rPr>
        <w:t>), immediately before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and immediately after giving Pro Forma Effect to any such purchase or other acquisition, no Default or Event of Default shall have occurred and be continuing, (ii) after giving effect to any such purchase or other acquisition, the Borrower shall be in compliance with the covenant in </w:t>
      </w:r>
      <w:r>
        <w:rPr>
          <w:rFonts w:ascii="Times New Roman" w:hAnsi="Times New Roman"/>
          <w:color w:val="000000"/>
          <w:sz w:val="22"/>
          <w:u w:val="single"/>
        </w:rPr>
        <w:t>Section 6.16</w:t>
      </w:r>
      <w:r>
        <w:rPr>
          <w:rFonts w:ascii="Times New Roman" w:hAnsi="Times New Roman"/>
          <w:color w:val="000000"/>
          <w:sz w:val="22"/>
        </w:rPr>
        <w:t xml:space="preserve">, (iii) to the extent required by the Collateral and Guarantee Requirement, (A) the property, assets and businesses acquired in such purchase or other acquisition shall become Collateral and (B) any such newly created or acquired Restricted Subsidiary (other than an Excluded Subsidiary) shall become Guarantors, in each case in accordance with </w:t>
      </w:r>
      <w:r>
        <w:rPr>
          <w:rFonts w:ascii="Times New Roman" w:hAnsi="Times New Roman"/>
          <w:color w:val="000000"/>
          <w:sz w:val="22"/>
          <w:u w:val="single"/>
        </w:rPr>
        <w:t>Section 6.11</w:t>
      </w:r>
      <w:r>
        <w:rPr>
          <w:rFonts w:ascii="Times New Roman" w:hAnsi="Times New Roman"/>
          <w:color w:val="000000"/>
          <w:sz w:val="22"/>
        </w:rPr>
        <w:t>, (iv) Permitted Acquisitions of Persons that are not required to become Guarantors by the Collateral and Guarantee Requirement and assets that do not constitute Collateral shall not exceed an aggregate amount of the greater of (A) $25,000,000 and (B) 25% of Consolidated EBITDA of the Borrower for the most recently ended Test Period calculated on a Pro Forma Basis, (v) after giving Pro Forma Effect to such Permitted Acquisition, the Borrower shall be in compliance with the Total Net Leverage Ratio Financial Covenant, (vi) for any Permitted Acquisition with a cash purchase price in excess of $200,000,000, the Borrower shall, solely to the extent such report is available or received by the Borrower from the sellers party to such Permitted Acquisition in connection with the Borrower’s diligence in respect thereof (it being understood that Borrower shall inquire as to whether such a report is available, but will have no further obligation, including incurring any costs or expenses, to obtain any such report if not delivered by the seller parties), have delivered to the Administrative Agent, at least five (5) Business Days prior to the date of consummation of the proposed Permitted Acquisition, a quality of earnings report, and (vii) such Permitted Acquisition shall not be hostile;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(k) [reserved];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(l) Investments in the ordinary course of business consisting of endorsements for collection or deposit and customary trade arrangements with customers consistent with past practices;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(m) 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(n) Investments as valued at cost at the time each such Investment is made and including all related commitments for future Investments, in an amount not exceeding (i) the Available Amount plus (ii) without duplication of any amounts netted out pursuant to </w:t>
      </w:r>
      <w:r>
        <w:rPr>
          <w:rFonts w:ascii="Times New Roman" w:hAnsi="Times New Roman"/>
          <w:color w:val="000000"/>
          <w:sz w:val="22"/>
          <w:u w:val="single"/>
        </w:rPr>
        <w:t>clause (vii)(A)</w:t>
      </w:r>
      <w:r>
        <w:rPr>
          <w:rFonts w:ascii="Times New Roman" w:hAnsi="Times New Roman"/>
          <w:color w:val="000000"/>
          <w:sz w:val="20"/>
        </w:rPr>
        <w:t xml:space="preserve"> </w:t>
      </w:r>
      <w:r>
        <w:rPr>
          <w:rFonts w:ascii="Times New Roman" w:hAnsi="Times New Roman"/>
          <w:color w:val="000000"/>
          <w:sz w:val="22"/>
        </w:rPr>
        <w:t xml:space="preserve">of the definition of “Available Amount”, an amount equal to any returns of capital or sale proceeds actually received in cash in respect of any such Investments (which amount shall not exceed the amount of such Investment valued at cost at the time such Investment was made);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such Investment, no Event of Default shall have occurred and be continuing or would result therefrom;</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(o) advances of payroll payments to employees in the ordinary course of business;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(p) loans and advances to any direct or indirect parent of the Borrower in lieu of, and not in excess of the amount of (after giving effect to any other such loans or advances or Restricted Payments in respect thereof), Restricted Payments to the extent permitted to be made to such direct or indirect parent in accordance with </w:t>
      </w:r>
      <w:r>
        <w:rPr>
          <w:rFonts w:ascii="Times New Roman" w:hAnsi="Times New Roman"/>
          <w:color w:val="000000"/>
          <w:sz w:val="22"/>
          <w:u w:val="single"/>
        </w:rPr>
        <w:t>Section 7.06</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loan or advance shall reduce the amount of such applicable Restricted Payment thereafter permitted under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 xml:space="preserve">by a corresponding amount (if such applicable provision of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contains a maximum amount);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(q) Investments held by a Restricted Subsidiary acquired after the Closing Date or of a corporation or company merged into the Borrower or merged or consolidated with a Restricted Subsidiary in accordance with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after the Closing Date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(r) Guarantee Obligations of the Borrower or any Restricted Subsidiary in respect of leases (other than Capitalized Leases) or of other obligations that do not constitute Indebtedness, in each case entered into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(s) Investments to the extent that payment for such Investments is made solely with Qualified Equity Interests (other than any Cure Amount or Excluded Contribution Amount);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(t) other Investments in an aggregate amount, as valued at cost at the time each such Investment is made and including all related commitments for future Investments, not exceeding (i) the greater of (x) $40,000,000 and (y) 40% of Consolidated EBITDA of the Borrower for the most recently ended Test Period calculated on a Pro Forma Basis,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an amount equal to any returns of capital or sale proceeds actually received in cash in respect of any such Investments (which amount shall not exceed the amount of such Investment valued at cost at the time such Investment was made)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(iii) amounts reallocated to this clause (t) from </w:t>
      </w:r>
      <w:r>
        <w:rPr>
          <w:rFonts w:ascii="Times New Roman" w:hAnsi="Times New Roman"/>
          <w:color w:val="000000"/>
          <w:sz w:val="22"/>
          <w:u w:val="single"/>
        </w:rPr>
        <w:t>Sections 7.06(j)</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7.08(a)(iii)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(u) Investments in JV Entities and Unrestricted Subsidiaries in an aggregate amount, as valued at cost at the time each such Investment is made and including all related commitments for future Investments, not exceeding (i) the greater of (x) $40,000,000 and (y) 40% of Consolidated EBITDA of the Borrower for the most recently ended Test Period calculated on a Pro Forma Basis,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(ii) an amount equal to any returns of capital or sale proceeds actually received in cash in respect of any such Investments (which amount shall not exceed the amount of such Investment valued at cost at the time such Investment was made);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(v) Investments as valued at cost at the time each such Investment is made and including all related commitments for future Investments, in an amount not exceeding the Excluded Contribution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such Investment, no Specified Event of Default shall have occurred and be continuing or would result therefrom;</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(w) contributions to a “rabbi” trust for the benefit of employees or other grantor trust subject to claims of creditors in the case of a bankruptcy of the Borrower or any Restricted Subsidiary;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(x) Investments by an Unrestricted Subsidiary entered into prior to the day such Unrestricted Subsidiary is re-designated as a Restricted Subsidiary pursuant to the definition of “Unrestricted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Investments were not incurred in contemplation of such re-designation;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(y) transactions entered into in order to consummate a Permitted Tax Restructuring.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contained herein, in no event shall this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permit the Borrower or any other Loan Party to make any Investment transferring ownership title of, or exclusive rights in, any Material Intellectual Property in or to any Person other than a Loan Party or the Equity Interests of any such Person that owns any Material Intellectual Property to any other Person other than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Borrower or any other Loan Party, other than the non-exclusive licensing of such Material Intellectual Property in the ordinary course of business or the exclusive licensing of such Material Intellectual Property in the ordinary course of business to the extent such exclusive license does not interfere in any material respect with the ordinary conduct of the business of the Borrower and its Restricted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7.03 </w:t>
      </w:r>
      <w:r>
        <w:rPr>
          <w:rFonts w:ascii="Times New Roman" w:hAnsi="Times New Roman"/>
          <w:b w:val="false"/>
          <w:color w:val="000000"/>
          <w:sz w:val="22"/>
          <w:u w:val="single"/>
        </w:rPr>
        <w:t>Indebtedness</w:t>
      </w:r>
      <w:r>
        <w:rPr>
          <w:rFonts w:ascii="Times New Roman" w:hAnsi="Times New Roman"/>
          <w:b w:val="false"/>
          <w:color w:val="000000"/>
          <w:sz w:val="22"/>
        </w:rPr>
        <w:t>. Create, incur, assume or suffer to exist any Indebtedness, except: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Indebtedness of the Borrower and any of its Subsidiaries under the Loan Documents;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letters of credit and similar instruments in an aggregate face amount not to exceed an amount equal to the Letter of Credit Sublimit less the aggregate face amount of all Letters of Credit;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Indebtedness may be incurred under this clause (b) at any time during which a Revolving Credit Lender is acting as the L/C Issuer hereunder;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Surviving Indebtedness that, to the extent in excess of $1,000,000 in the aggregate, is listed on </w:t>
      </w:r>
      <w:r>
        <w:rPr>
          <w:rFonts w:ascii="Times New Roman" w:hAnsi="Times New Roman"/>
          <w:color w:val="000000"/>
          <w:sz w:val="22"/>
          <w:u w:val="single"/>
        </w:rPr>
        <w:t>Schedule 7.03(c)</w:t>
      </w:r>
      <w:r>
        <w:rPr>
          <w:rFonts w:ascii="Times New Roman" w:hAnsi="Times New Roman"/>
          <w:color w:val="000000"/>
          <w:sz w:val="20"/>
        </w:rPr>
        <w:t xml:space="preserve"> </w:t>
      </w:r>
      <w:r>
        <w:rPr>
          <w:rFonts w:ascii="Times New Roman" w:hAnsi="Times New Roman"/>
          <w:color w:val="000000"/>
          <w:sz w:val="22"/>
        </w:rPr>
        <w:t>and (ii) any Permitted Refinancing of any of the foregoing;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Guarantee Obligations of the Borrower and its Restricted Subsidiaries in respect of Indebtedness of the Borrower or any Restricted Subsidiary otherwise permitted hereunder (except that Non-Loan Parties may not, by virtue of this </w:t>
      </w:r>
      <w:r>
        <w:rPr>
          <w:rFonts w:ascii="Times New Roman" w:hAnsi="Times New Roman"/>
          <w:color w:val="000000"/>
          <w:sz w:val="22"/>
          <w:u w:val="single"/>
        </w:rPr>
        <w:t>Section 7.03(d)</w:t>
      </w:r>
      <w:r>
        <w:rPr>
          <w:rFonts w:ascii="Times New Roman" w:hAnsi="Times New Roman"/>
          <w:color w:val="000000"/>
          <w:sz w:val="22"/>
        </w:rPr>
        <w:t xml:space="preserve">, guarantee Indebtedness that such Non-Loan Parties could not otherwise incur under this </w:t>
      </w:r>
      <w:r>
        <w:rPr>
          <w:rFonts w:ascii="Times New Roman" w:hAnsi="Times New Roman"/>
          <w:color w:val="000000"/>
          <w:sz w:val="22"/>
          <w:u w:val="single"/>
        </w:rPr>
        <w:t>Section 7.03</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Indebtedness being guaranteed is subordinated to the Obligations, such Guarantee Obligation shall be subordinated to the Guarantee of the Obligations on terms at least as favorable to the Lenders as those contained in the subordination of such Indebtedness;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Indebtedness of the Borrower or any Restricted Subsidiary owing to the Borrower or any other Restricted Subsidiary to the extent constituting an Investment permitted by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that each Non-Loan Party shall agree in writing to subordinate all Indebtedness of any Loan Party owed to it pursuant to subordination terms substantially similar to those set forth in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of the Guaranty;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(f) (i) Attributable Indebtedness and other Indebtedness financing the acquisition, construction, repair, replacement or improvement of fixed or capital assets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Indebtedness is incurred concurrently with or within two hundred seventy (270) days after the applicable acquisition, construction, repair, replacement or improvement), (ii) Attributable Indebtedness arising out of Permitted Sale Leasebacks in an aggregate principal amount not to exceed at any one time outstanding $4,000,000 and (iii) any Permitted Refinancing of any Indebtedness set forth in the immediately preceding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aggregate principal amount of Indebtedness (including without limitation Attributable Indebtedness, but excluding Attributable Indebtedness incurred pursuant to </w:t>
      </w:r>
      <w:r>
        <w:rPr>
          <w:rFonts w:ascii="Times New Roman" w:hAnsi="Times New Roman"/>
          <w:color w:val="000000"/>
          <w:sz w:val="22"/>
          <w:u w:val="single"/>
        </w:rPr>
        <w:t>clause (ii)</w:t>
      </w:r>
      <w:r>
        <w:rPr>
          <w:rFonts w:ascii="Times New Roman" w:hAnsi="Times New Roman"/>
          <w:color w:val="000000"/>
          <w:sz w:val="22"/>
        </w:rPr>
        <w:t xml:space="preserve">) under this </w:t>
      </w:r>
      <w:r>
        <w:rPr>
          <w:rFonts w:ascii="Times New Roman" w:hAnsi="Times New Roman"/>
          <w:color w:val="000000"/>
          <w:sz w:val="22"/>
          <w:u w:val="single"/>
        </w:rPr>
        <w:t>Section 7.03(f)</w:t>
      </w:r>
      <w:r>
        <w:rPr>
          <w:rFonts w:ascii="Times New Roman" w:hAnsi="Times New Roman"/>
          <w:color w:val="000000"/>
          <w:sz w:val="20"/>
        </w:rPr>
        <w:t xml:space="preserve"> </w:t>
      </w:r>
      <w:r>
        <w:rPr>
          <w:rFonts w:ascii="Times New Roman" w:hAnsi="Times New Roman"/>
          <w:color w:val="000000"/>
          <w:sz w:val="22"/>
        </w:rPr>
        <w:t>does not exceed the greater of (x) $35,000,000 and (y) 35% of Consolidated EBITDA of the Borrower for the most recently ended Test Period calculated on a Pro Forma Basis;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(g) Indebtedness in respect of Swap Contracts (i) entered into to hedge or mitigate risks to which the Borrower or any Subsidiary has actual or anticipated exposure (other than those in respect of shares of capital stock or other equity ownership interests of the Borrower or any Subsidiary), (ii) entered into in order to effectively cap, collar or exchange interest rates (from fixed to floating rates, from one floating rate to another floating rate or otherwise) with respect to any interest-bearing liability or investment of the Borrower or any Subsidiary and (iii) entered into to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hedge commodities, currencies, general economic conditions, raw materials prices, revenue streams or business performance;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[reserved];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 Indebtedness representing deferred compensation to employees of the Borrower (or any direct or indirect parent of the Borrower) and its Restricted Subsidiaries incurred in the ordinary course of business;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(j) Indebtedness to current or former officers, directors, partners, managers, consultants and employees, their respective estates, spouses or former spouses to finance the purchase or redemption of Equity Interests of the Borrower (or any direct or indirect parent thereof) permitted by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in an aggregate amount not to exceed $10,000,000 at any one time outstanding;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(k) Indebtedness incurred by the Borrower or any of its Restricted Subsidiaries, a Permitted Acquisition, any other Investment expressly permitted hereunder or any Disposition, in each case to the extent constituting indemnification obligations or obligations in respect of purchase price (including earn-outs) or other similar adjustments;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 all such earn-outs and purchase price adjustments shall be unsecured and (ii) the aggregate amount of Indebtedness consisting of earn-outs and purchase price adjustments (other than customary working capital adjustments) under this </w:t>
      </w:r>
      <w:r>
        <w:rPr>
          <w:rFonts w:ascii="Times New Roman" w:hAnsi="Times New Roman"/>
          <w:color w:val="000000"/>
          <w:sz w:val="22"/>
          <w:u w:val="single"/>
        </w:rPr>
        <w:t>Section 7.03(k)</w:t>
      </w:r>
      <w:r>
        <w:rPr>
          <w:rFonts w:ascii="Times New Roman" w:hAnsi="Times New Roman"/>
          <w:color w:val="000000"/>
          <w:sz w:val="20"/>
        </w:rPr>
        <w:t xml:space="preserve"> </w:t>
      </w:r>
      <w:r>
        <w:rPr>
          <w:rFonts w:ascii="Times New Roman" w:hAnsi="Times New Roman"/>
          <w:color w:val="000000"/>
          <w:sz w:val="22"/>
        </w:rPr>
        <w:t>at any one time outstanding shall not exceed the greater of (x) $35,000,000 and (y) 35% of Consolidated EBITDA of the Borrower for the most recently ended Test Period calculated on a Pro Forma Basis;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(l) Indebtedness consisting of obligations of the Borrower (or any direct or indirect parent thereof) or any of its Restricted Subsidiaries under deferred compensation or other similar arrangements incurred by such Person in connection with Permitted Acquisitions or any other Investment expressly permitted hereunder;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such deferred compensation and similar arrangements shall be unsecured;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(m) (i) Cash Management Obligations and (ii) other Indebtedness in respect of netting services, automatic clearinghouse arrangements, overdraft protections and similar arrangements in each case incurred in the ordinary course;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(n) Indebtedness consisting of (i) the financing of insurance premiums or (ii) take or pay obligations contained in supply arrangements, in each case,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(o) Indebtedness incurred by the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(p) obligations in respect of performance, bid, appeal and surety bonds and performance and completion guarantees and similar obligations provided by the Borrower or any of its Restricted Subsidiaries or obligations in respect of letters of credit, bank guarantees or similar instruments related thereto, in each case in the ordinary course of business or consistent with past practice;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(q) Indebtedness supported by a Letter of Credit in a principal amount not to exceed the face amount of such Letter of Credit;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(r) (i) other Indebtedness (in the form of junior secured, senior unsecured or subordinated notes or loans) of the Borrower or any Restricted Subsidiary in an unlimited amount so long as the Borrower is in compliance with the Total Net Leverage Ratio Financial Covenant (calculated on a Pro Forma Basis assuming that all such Indebtedness then being incurred is fully drawn but excluding the cash proceeds therefrom) as of the last day of the most recently ended Test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Indebtedness pursuant to this </w:t>
      </w:r>
      <w:r>
        <w:rPr>
          <w:rFonts w:ascii="Times New Roman" w:hAnsi="Times New Roman"/>
          <w:color w:val="000000"/>
          <w:sz w:val="22"/>
          <w:u w:val="single"/>
        </w:rPr>
        <w:t>clause (r)</w:t>
      </w:r>
      <w:r>
        <w:rPr>
          <w:rFonts w:ascii="Times New Roman" w:hAnsi="Times New Roman"/>
          <w:color w:val="000000"/>
          <w:sz w:val="22"/>
        </w:rPr>
        <w:t xml:space="preserve">, (1) shall not mature prior to the date that is ninety one (91) days after the Maturity Date of the Initial Term Loans or have a Weighted Average Life to Maturity less than the Weighted Average Life to Maturity of the Initial Term Loans plus ninety one (91) days,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requirements of this clause (1) shall not apply to the extent such Indebtedness constitutes a customary bridge facility, so long as the long-term Indebtedness into which such customary bridge facility is to be converted or exchanged satisfies the requirements of this </w:t>
      </w:r>
      <w:r>
        <w:rPr>
          <w:rFonts w:ascii="Times New Roman" w:hAnsi="Times New Roman"/>
          <w:color w:val="000000"/>
          <w:sz w:val="22"/>
          <w:u w:val="single"/>
        </w:rPr>
        <w:t>clause (1)</w:t>
      </w:r>
      <w:r>
        <w:rPr>
          <w:rFonts w:ascii="Times New Roman" w:hAnsi="Times New Roman"/>
          <w:color w:val="000000"/>
          <w:sz w:val="22"/>
        </w:rPr>
        <w:t xml:space="preserve">, (2) shall not have mandatory prepayment, redemption or offer to purchase events more onerous than those applicable to the Initial Term Loans, (3) shall have other terms and conditions (excluding pricing and optional prepayment or redemption terms) either (x) are not materially more restrictive to the Borrower (as reasonably determined by the Borrower in good faith), when taken as a whole, than the terms and conditions hereof (it being understood that such terms or conditions may be more restrictive than the terms and conditions set forth in this Agreement if the Lenders receive the benefit of such terms or conditions through amendment or supplementation of this Agreement or to the extent such terms or conditions apply solely to periods following the Latest Maturity Date), or (y) are reasonably satisfactory to the Administrative Agent, (4) incurred pursuant to this </w:t>
      </w:r>
      <w:r>
        <w:rPr>
          <w:rFonts w:ascii="Times New Roman" w:hAnsi="Times New Roman"/>
          <w:color w:val="000000"/>
          <w:sz w:val="22"/>
          <w:u w:val="single"/>
        </w:rPr>
        <w:t>Section 7.03(r)</w:t>
      </w:r>
      <w:r>
        <w:rPr>
          <w:rFonts w:ascii="Times New Roman" w:hAnsi="Times New Roman"/>
          <w:color w:val="000000"/>
          <w:sz w:val="20"/>
        </w:rPr>
        <w:t xml:space="preserve"> </w:t>
      </w:r>
      <w:r>
        <w:rPr>
          <w:rFonts w:ascii="Times New Roman" w:hAnsi="Times New Roman"/>
          <w:color w:val="000000"/>
          <w:sz w:val="22"/>
        </w:rPr>
        <w:t xml:space="preserve">by Non-Loan Parties, together with the aggregate principal amount of Indebtedness of Non-Loan Parties outstanding under </w:t>
      </w:r>
      <w:r>
        <w:rPr>
          <w:rFonts w:ascii="Times New Roman" w:hAnsi="Times New Roman"/>
          <w:color w:val="000000"/>
          <w:sz w:val="22"/>
          <w:u w:val="single"/>
        </w:rPr>
        <w:t>Section 7.03(s)</w:t>
      </w:r>
      <w:r>
        <w:rPr>
          <w:rFonts w:ascii="Times New Roman" w:hAnsi="Times New Roman"/>
          <w:color w:val="000000"/>
          <w:sz w:val="20"/>
        </w:rPr>
        <w:t xml:space="preserve"> </w:t>
      </w:r>
      <w:r>
        <w:rPr>
          <w:rFonts w:ascii="Times New Roman" w:hAnsi="Times New Roman"/>
          <w:color w:val="000000"/>
          <w:sz w:val="22"/>
        </w:rPr>
        <w:t xml:space="preserve">at such time, shall not exceed an aggregate principal amount of the greater of (x) $25,000,000 and (y) 25% of Consolidated EBITDA of the Borrower for the most recently ended Test Period calculated on a Pro Forma Basis at any one time outstanding and (5) that is subordinated in right of payment to the Obligations shall be subject to an Acceptable Intercreditor Agreement, and (ii) any Permitted Refinancing of Indebtedness incurred under, and subject to the limitations set forth in the foregoing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(5)</w:t>
      </w:r>
      <w:r>
        <w:rPr>
          <w:rFonts w:ascii="Times New Roman" w:hAnsi="Times New Roman"/>
          <w:color w:val="000000"/>
          <w:sz w:val="20"/>
        </w:rPr>
        <w:t xml:space="preserve"> </w:t>
      </w:r>
      <w:r>
        <w:rPr>
          <w:rFonts w:ascii="Times New Roman" w:hAnsi="Times New Roman"/>
          <w:color w:val="000000"/>
          <w:sz w:val="22"/>
        </w:rPr>
        <w:t xml:space="preserve">of the proviso to the foregoing </w:t>
      </w:r>
      <w:r>
        <w:rPr>
          <w:rFonts w:ascii="Times New Roman" w:hAnsi="Times New Roman"/>
          <w:color w:val="000000"/>
          <w:sz w:val="22"/>
          <w:u w:val="single"/>
        </w:rPr>
        <w:t>clause (r)(i))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(s) Indebtedness incurred by a Non-Loan Party, and guarantees thereof by Non-Loan Party, in an aggregate principal amount, together with the aggregate principal amount of Indebtedness of Non-Loan Parties outstanding under </w:t>
      </w:r>
      <w:r>
        <w:rPr>
          <w:rFonts w:ascii="Times New Roman" w:hAnsi="Times New Roman"/>
          <w:color w:val="000000"/>
          <w:sz w:val="22"/>
          <w:u w:val="single"/>
        </w:rPr>
        <w:t>Section 7.03(r)</w:t>
      </w:r>
      <w:r>
        <w:rPr>
          <w:rFonts w:ascii="Times New Roman" w:hAnsi="Times New Roman"/>
          <w:color w:val="000000"/>
          <w:sz w:val="20"/>
        </w:rPr>
        <w:t xml:space="preserve"> </w:t>
      </w:r>
      <w:r>
        <w:rPr>
          <w:rFonts w:ascii="Times New Roman" w:hAnsi="Times New Roman"/>
          <w:color w:val="000000"/>
          <w:sz w:val="22"/>
        </w:rPr>
        <w:t>at such time, not to exceed the greater of (x) $25,000,000 and (y) 25% of Consolidated EBITDA of the Borrower for the most recently ended Test Period calculated on a Pro Forma Basis at any one time outstanding;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(t) (i) Indebtedness in the form of junior secured, senior unsecured or subordinated notes or loans incurred by the Borrower to the extent that the Borrower shall have been permitted to incur such Indebtedness pursuant to, and such Indebtedness shall be deemed to be incurred in reliance on,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upon the effectiveness of such Indebtedness, except in connection with a Limited Condition Transaction (in which case no Default or Event of Default shall have occurred which was continuing on the date the definitive documentation for such Limited Condition Transaction was signed and no Specified Default shall have occurred and is continuing or would result therefrom on the date of consummation of such Limited Condition Transaction), no Default or Event of Default has occurred and is continuing or shall result therefrom, (B) such Indebtedness shall not mature earlier than the Maturity Date applicable to the Term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requirements of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shall not apply to the extent such Indebtedness constitutes a customary bridge facility, so long as the long-term Indebtedness into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bookmarkStart w:id="57" w:name="docxtextref1418"/>
      <w:bookmarkEnd w:id="57"/>
      <w:r>
        <w:rPr>
          <w:rFonts w:ascii="Times New Roman" w:hAnsi="Times New Roman"/>
          <w:color w:val="000000"/>
          <w:sz w:val="22"/>
        </w:rPr>
        <w:t xml:space="preserve">which such customary bridge facility is to be converted or exchanged satisfies the requirements of this </w:t>
      </w:r>
      <w:r>
        <w:rPr>
          <w:rFonts w:ascii="Times New Roman" w:hAnsi="Times New Roman"/>
          <w:color w:val="000000"/>
          <w:sz w:val="22"/>
          <w:u w:val="single"/>
        </w:rPr>
        <w:t>clause (B)</w:t>
      </w:r>
      <w:r>
        <w:rPr>
          <w:rFonts w:ascii="Times New Roman" w:hAnsi="Times New Roman"/>
          <w:color w:val="000000"/>
          <w:sz w:val="22"/>
        </w:rPr>
        <w:t xml:space="preserve">, (C) as of the date of the incurrence of such Indebtedness, the Weighted Average Life to Maturity of such Indebtedness shall not be shorter than that of the Term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requirements of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shall not apply to the extent such Indebtedness constitutes a customary bridge facility, so long as the long-term Indebtedness into which such customary bridge facility is to be converted or exchanged satisfies the requirements of this </w:t>
      </w:r>
      <w:r>
        <w:rPr>
          <w:rFonts w:ascii="Times New Roman" w:hAnsi="Times New Roman"/>
          <w:color w:val="000000"/>
          <w:sz w:val="22"/>
          <w:u w:val="single"/>
        </w:rPr>
        <w:t>clause (C)</w:t>
      </w:r>
      <w:r>
        <w:rPr>
          <w:rFonts w:ascii="Times New Roman" w:hAnsi="Times New Roman"/>
          <w:color w:val="000000"/>
          <w:sz w:val="22"/>
        </w:rPr>
        <w:t xml:space="preserve">, (D) no Restricted Subsidiary is a borrower or guarantor with respect to such Indebtedness unless such Restricted Subsidiary is a Guarantor which shall have previously or substantially concurrently guaranteed the Obligations, (E) any Indebtedness incurred pursuant to this </w:t>
      </w:r>
      <w:r>
        <w:rPr>
          <w:rFonts w:ascii="Times New Roman" w:hAnsi="Times New Roman"/>
          <w:color w:val="000000"/>
          <w:sz w:val="22"/>
          <w:u w:val="single"/>
        </w:rPr>
        <w:t>Section 7.03(t)</w:t>
      </w:r>
      <w:r>
        <w:rPr>
          <w:rFonts w:ascii="Times New Roman" w:hAnsi="Times New Roman"/>
          <w:color w:val="000000"/>
          <w:sz w:val="22"/>
        </w:rPr>
        <w:t>, to the extent secured, shall be secured only by assets constituting Collateral on a junior lien basis to the Collateral securing the Facilities</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 xml:space="preserve">(F) such Indebtedness shall not participate in mandatory prepayments on a greater than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basis with the Term Loans , (G) the other terms and conditions of such Indebtedness (excluding pricing, optional prepayment or redemption terms) either (x) are not materially more restrictive to the Borrower (as reasonably determined by the Borrower in good faith), when taken as a whole, than the terms and conditions applicable to the Initial Term Loans (in each case, unless the Lenders with respect to the Initial Term Loan receive the benefit of such more restrictive terms or conditions through their addition to this Agreement or to the extent that they apply solely to periods following the Latest Maturity Date) or (y)</w:t>
      </w:r>
      <w:r>
        <w:rPr>
          <w:rFonts w:ascii="Times New Roman" w:hAnsi="Times New Roman"/>
          <w:color w:val="000000"/>
          <w:sz w:val="20"/>
        </w:rPr>
        <w:t xml:space="preserve"> </w:t>
      </w:r>
      <w:r>
        <w:rPr>
          <w:rFonts w:ascii="Times New Roman" w:hAnsi="Times New Roman"/>
          <w:color w:val="000000"/>
          <w:sz w:val="22"/>
        </w:rPr>
        <w:t xml:space="preserve">are reasonably satisfactory to the Administrative Agent and (H) any Indebtedness incurred pursuant to this </w:t>
      </w:r>
      <w:r>
        <w:rPr>
          <w:rFonts w:ascii="Times New Roman" w:hAnsi="Times New Roman"/>
          <w:color w:val="000000"/>
          <w:sz w:val="22"/>
          <w:u w:val="single"/>
        </w:rPr>
        <w:t>Section 7.03(t)</w:t>
      </w:r>
      <w:r>
        <w:rPr>
          <w:rFonts w:ascii="Times New Roman" w:hAnsi="Times New Roman"/>
          <w:color w:val="000000"/>
          <w:sz w:val="20"/>
        </w:rPr>
        <w:t xml:space="preserve"> </w:t>
      </w:r>
      <w:r>
        <w:rPr>
          <w:rFonts w:ascii="Times New Roman" w:hAnsi="Times New Roman"/>
          <w:color w:val="000000"/>
          <w:sz w:val="22"/>
        </w:rPr>
        <w:t xml:space="preserve">that is subordinated in right of payment to the Obligations shall be subject to an Acceptable Intercreditor Agreement (such Indebtedness incurred pursuant to this </w:t>
      </w:r>
      <w:r>
        <w:rPr>
          <w:rFonts w:ascii="Times New Roman" w:hAnsi="Times New Roman"/>
          <w:color w:val="000000"/>
          <w:sz w:val="22"/>
          <w:u w:val="single"/>
        </w:rPr>
        <w:t>clause (t)</w:t>
      </w:r>
      <w:r>
        <w:rPr>
          <w:rFonts w:ascii="Times New Roman" w:hAnsi="Times New Roman"/>
          <w:color w:val="000000"/>
          <w:sz w:val="20"/>
        </w:rPr>
        <w:t xml:space="preserve"> </w:t>
      </w:r>
      <w:r>
        <w:rPr>
          <w:rFonts w:ascii="Times New Roman" w:hAnsi="Times New Roman"/>
          <w:color w:val="000000"/>
          <w:sz w:val="22"/>
        </w:rPr>
        <w:t>being referred to as “</w:t>
      </w:r>
      <w:r>
        <w:rPr>
          <w:rFonts w:ascii="Times New Roman" w:hAnsi="Times New Roman"/>
          <w:color w:val="000000"/>
          <w:sz w:val="22"/>
          <w:u w:val="single"/>
        </w:rPr>
        <w:t>Incremental Equivalent Debt</w:t>
      </w:r>
      <w:r>
        <w:rPr>
          <w:rFonts w:ascii="Times New Roman" w:hAnsi="Times New Roman"/>
          <w:color w:val="000000"/>
          <w:sz w:val="20"/>
        </w:rPr>
        <w:t>”</w:t>
      </w:r>
      <w:r>
        <w:rPr>
          <w:rFonts w:ascii="Times New Roman" w:hAnsi="Times New Roman"/>
          <w:color w:val="000000"/>
          <w:sz w:val="22"/>
        </w:rPr>
        <w:t xml:space="preserve">) and (ii) any Permitted Refinancing of Indebtedness incurred under the foregoing </w:t>
      </w:r>
      <w:r>
        <w:rPr>
          <w:rFonts w:ascii="Times New Roman" w:hAnsi="Times New Roman"/>
          <w:color w:val="000000"/>
          <w:sz w:val="22"/>
          <w:u w:val="single"/>
        </w:rPr>
        <w:t>clause (t)(i)</w:t>
      </w:r>
      <w:r>
        <w:rPr>
          <w:rFonts w:ascii="Times New Roman" w:hAnsi="Times New Roman"/>
          <w:color w:val="000000"/>
          <w:sz w:val="20"/>
        </w:rPr>
        <w:t xml:space="preserve"> </w:t>
      </w:r>
      <w:r>
        <w:rPr>
          <w:rFonts w:ascii="Times New Roman" w:hAnsi="Times New Roman"/>
          <w:color w:val="000000"/>
          <w:sz w:val="22"/>
        </w:rPr>
        <w:t xml:space="preserve">so long as such Permitted Refinancing satisfies the foregoing </w:t>
      </w:r>
      <w:r>
        <w:rPr>
          <w:rFonts w:ascii="Times New Roman" w:hAnsi="Times New Roman"/>
          <w:color w:val="000000"/>
          <w:sz w:val="22"/>
          <w:u w:val="single"/>
        </w:rPr>
        <w:t>clauses (t)(i)(A)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(H)</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(u) additional Indebtedness in an aggregate principal amount not to exceed the greater of (x) $35,000,000 and (y) 35% of Consolidated EBITDA of the Borrower for the most recently ended Test Period calculated on a Pro Forma Basis at any one time outstanding;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(v) Indebtedness assumed in connection with a Permitted Acquisition or other Investment not prohibited hereunder and not created in contemplation thereof, so long as either (A) such Indebtedness would have been permitted to have been incurred under </w:t>
      </w:r>
      <w:r>
        <w:rPr>
          <w:rFonts w:ascii="Times New Roman" w:hAnsi="Times New Roman"/>
          <w:color w:val="000000"/>
          <w:sz w:val="22"/>
          <w:u w:val="single"/>
        </w:rPr>
        <w:t>Section 7.03(r)</w:t>
      </w:r>
      <w:r>
        <w:rPr>
          <w:rFonts w:ascii="Times New Roman" w:hAnsi="Times New Roman"/>
          <w:color w:val="000000"/>
          <w:sz w:val="20"/>
        </w:rPr>
        <w:t xml:space="preserve"> </w:t>
      </w:r>
      <w:r>
        <w:rPr>
          <w:rFonts w:ascii="Times New Roman" w:hAnsi="Times New Roman"/>
          <w:color w:val="000000"/>
          <w:sz w:val="22"/>
        </w:rPr>
        <w:t>or (B) the aggregate principal amount of such Indebtedness does not exceed the greater of (x) $35,000,000 and (y) 35% of Consolidated EBITDA of the Borrower for the most recently ended Test Period calculated on a Pro Forma Basis;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(w) (i) Indebtedness (in the form of junior secured, senior unsecured or subordinated notes or loans) incurred by the Borrower or any of its Restricted Subsidiaries to the extent that 100% of the Net Cash Proceeds therefrom are, immediately after the receipt thereof, applied solely to the prepayment of Term Loans in accordance with </w:t>
      </w:r>
      <w:r>
        <w:rPr>
          <w:rFonts w:ascii="Times New Roman" w:hAnsi="Times New Roman"/>
          <w:color w:val="000000"/>
          <w:sz w:val="22"/>
          <w:u w:val="single"/>
        </w:rPr>
        <w:t>Section 2.05(b)(iii)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 other than with respect to any customary bridge facilities so long as the long-term debt into which any such customary bridge facility is to be converted satisfies such limitations, such Indebtedness shall not mature earlier than the Maturity Date with respect to the relevant Term Loans being refinanced, (B) as of the date of the incurrence of such Indebtedness, other than with respect to any customary bridge facilities so long as the long-term debt into which any such customary bridge facility is to be converted satisfies such limitations, the Weighted Average Life to Maturity of such Indebtedness shall not be shorter than that of then-remaining Term Loans being refinanced, (C) no Restricted Subsidiary is a borrower or guarantor with respect to such Indebtedness unless such Restricted Subsidiary is a Guarantor which shall have previously or substantially concurrently guaranteed the Obligations, (D) the terms and conditions of such Indebtedness (excluding pricing and optional prepayment or redemption terms or covenants or other provisions applicable only to periods after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the maturity date of the Term Loans being refinanced) reflect market terms and conditions on the date of incurrence or issuance of such Indebtedness, as reasonably determined by the Borrower in good faith, (E) such Indebtedness shall not participate in mandatory prepayments on a greater than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basis with the Term Loans, and (F) the Borrower has delivered to the Administrative Agent a certificate of a Responsible Officer of the Borrower, together with all relevant financial information reasonably requested by the Administrative Agent, including reasonably detailed calculations demonstrating compliance with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and (ii) any Permitted Refinancing of Indebtedness incurred under the foregoing </w:t>
      </w:r>
      <w:r>
        <w:rPr>
          <w:rFonts w:ascii="Times New Roman" w:hAnsi="Times New Roman"/>
          <w:color w:val="000000"/>
          <w:sz w:val="22"/>
          <w:u w:val="single"/>
        </w:rPr>
        <w:t>clause (w)(i)</w:t>
      </w:r>
      <w:r>
        <w:rPr>
          <w:rFonts w:ascii="Times New Roman" w:hAnsi="Times New Roman"/>
          <w:color w:val="000000"/>
          <w:sz w:val="20"/>
        </w:rPr>
        <w:t xml:space="preserve"> </w:t>
      </w:r>
      <w:r>
        <w:rPr>
          <w:rFonts w:ascii="Times New Roman" w:hAnsi="Times New Roman"/>
          <w:color w:val="000000"/>
          <w:sz w:val="22"/>
        </w:rPr>
        <w:t xml:space="preserve">so long as such Permitted Refinancing satisfies the foregoing </w:t>
      </w:r>
      <w:r>
        <w:rPr>
          <w:rFonts w:ascii="Times New Roman" w:hAnsi="Times New Roman"/>
          <w:color w:val="000000"/>
          <w:sz w:val="22"/>
          <w:u w:val="single"/>
        </w:rPr>
        <w:t>clauses (w)(i)(A)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(F)</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(x) [reserved];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(y) Indebtedness in respect of Permitted Debt Exchange Notes incurred pursuant to a Permitted Debt Exchange in accordance with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and any Permitted Refinancing thereof so long as such Permitted Refinancing satisfies the requirements of </w:t>
      </w:r>
      <w:r>
        <w:rPr>
          <w:rFonts w:ascii="Times New Roman" w:hAnsi="Times New Roman"/>
          <w:color w:val="000000"/>
          <w:sz w:val="22"/>
          <w:u w:val="single"/>
        </w:rPr>
        <w:t>Sections 2.17(a)(i)</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(xii)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(z) [reserved];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(aa) all premiums (if any), interest (including post-petition interest), fees, expenses, charges and additional or contingent interest on obligations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(z)</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The accrual of interest, the accretion of accreted value and the payment of interest in the form of additional Indebtedness shall not be deemed to be an incurrence of Indebtedness for purposes of this </w:t>
      </w:r>
      <w:r>
        <w:rPr>
          <w:rFonts w:ascii="Times New Roman" w:hAnsi="Times New Roman"/>
          <w:color w:val="000000"/>
          <w:sz w:val="22"/>
          <w:u w:val="single"/>
        </w:rPr>
        <w:t>Section 7.03</w:t>
      </w:r>
      <w:r>
        <w:rPr>
          <w:rFonts w:ascii="Times New Roman" w:hAnsi="Times New Roman"/>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7.04 </w:t>
      </w:r>
      <w:r>
        <w:rPr>
          <w:rFonts w:ascii="Times New Roman" w:hAnsi="Times New Roman"/>
          <w:b w:val="false"/>
          <w:color w:val="000000"/>
          <w:sz w:val="22"/>
          <w:u w:val="single"/>
        </w:rPr>
        <w:t>Fundamental Changes</w:t>
      </w:r>
      <w:r>
        <w:rPr>
          <w:rFonts w:ascii="Times New Roman" w:hAnsi="Times New Roman"/>
          <w:b w:val="false"/>
          <w:color w:val="000000"/>
          <w:sz w:val="22"/>
        </w:rPr>
        <w:t>. Merge, amalgamate,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any Restricted Subsidiary may merge or amalgamate with (i) the Borrower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resulting entity shall succeed as a matter of law to all of the Obligations of the Borrower), or (ii) any one or more other Restricted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when any Restricted Subsidiary that is a Loan Party is merging or amalgamating with another Restricted Subsidiary, a Loan Party shall be a continuing or surviving Person, as applicable, or the resulting entity shall succeed as a matter of law to all of the Obligations of such Loan Party) and (iii) in order to consummate a Permitted Tax Restructuring;</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(i) any Restricted Subsidiary that is not a Loan Party may merge, amalgamate or consolidate with or into any other Restricted Subsidiary that is not a Loan Party, (ii) (A) any Restricted Subsidiary may liquidate, dissolve or wind up, or (B) any Restricted Subsidiary may change its legal form, in each case, if the Borrower determines in good faith that such action is in the best interests of the Borrower and its Subsidiaries and is not materially disadvantageous to the Lenders and (iii) the Borrower may change its legal form if it determines in good faith that such action is in the best interests of the Borrower and its Subsidiaries, and the Administrative Agent reasonably determines it is not disadvantageous to the Lenders;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any Restricted Subsidiary may Dispose of all or substantially all of its assets (upon voluntary liquidation or otherwise) to another Restricted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the transferor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in such a transaction is a Loan Party, then either (i) the transferee must be a Loan Party or (ii) to the extent constituting an Investment, such Investment must be a permitted Investment in or Indebtedness of a Restricted Subsidiary that is not a Loan Party in accordance with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7.03</w:t>
      </w:r>
      <w:r>
        <w:rPr>
          <w:rFonts w:ascii="Times New Roman" w:hAnsi="Times New Roman"/>
          <w:color w:val="000000"/>
          <w:sz w:val="22"/>
        </w:rPr>
        <w:t>, respectively;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(d) so long as no Event of Default has occurred and is continuing or would result therefrom, the Borrower may merge or amalgamate with any other Person (1) in a transaction in which the Borrower is the continuing or surviving entity of such transaction or (2) in a transaction in which such other Person is the surviving or continuing entity of such transaction (such person, the “</w:t>
      </w:r>
      <w:r>
        <w:rPr>
          <w:rFonts w:ascii="Times New Roman" w:hAnsi="Times New Roman"/>
          <w:color w:val="000000"/>
          <w:sz w:val="22"/>
          <w:u w:val="single"/>
        </w:rPr>
        <w:t>Successor 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in the case of this clause (2), (i) such Successor Borrower is organized under the laws of the United States; (ii) such Successor Borrower shall assume the Obligations of the Borrower under the Loan Documents; (iii) each Guarantor shall have confirmed that its Guaranty shall apply to the Successor Borrower’s obligations under the Loan Documents; (iv) each Guarantor shall have by a supplement to the Security Agreement and other applicable Collateral Documents confirmed that its obligations thereunder shall apply to the Successor Borrower’s obligations under the Loan Documents; (v) if requested by the Administrative Agent, each mortgagor of a Mortgaged Property shall have by an amendment to or restatement of the applicable Mortgage (or other instrument reasonably satisfactory to the Administrative Agent) confirmed that its obligations thereunder shall apply to the Successor Borrower’s obligations under the Loan Documents; (vi) the Borrower shall have delivered information reasonably requested in writing by the Administrative Agent (or any Lender through the Administrative Agent) reasonably required by regulatory authorities under “know your customer” and anti-money laundering rules and regulations, including without limitation the USA PATRIOT Act of the type delivered on the Closing Date pursuant to </w:t>
      </w:r>
      <w:r>
        <w:rPr>
          <w:rFonts w:ascii="Times New Roman" w:hAnsi="Times New Roman"/>
          <w:color w:val="000000"/>
          <w:sz w:val="22"/>
          <w:u w:val="single"/>
        </w:rPr>
        <w:t>Section 4.01(g)</w:t>
      </w:r>
      <w:r>
        <w:rPr>
          <w:rFonts w:ascii="Times New Roman" w:hAnsi="Times New Roman"/>
          <w:color w:val="000000"/>
          <w:sz w:val="20"/>
        </w:rPr>
        <w:t xml:space="preserve"> </w:t>
      </w:r>
      <w:r>
        <w:rPr>
          <w:rFonts w:ascii="Times New Roman" w:hAnsi="Times New Roman"/>
          <w:color w:val="000000"/>
          <w:sz w:val="22"/>
        </w:rPr>
        <w:t>and (vii) the Borrower shall have delivered of an officer’s certificate certifying the compliance with the foregoing;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so long as no Default has occurred and is continuing or would result therefrom, any Restricted Subsidiary may merge or amalgamate with any other Person in order to effect an Investment permitted pursuant to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continuing or surviving Person shall be a Restricted Subsidiary, which together with each of its Restricted Subsidiaries, shall have complied with the requirements of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[reserved];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so long as no Default or Event of Default has occurred and is continuing or would result therefrom, a merger, amalgamation, dissolution, winding up, liquidation, consolidation or Disposition, the purpose of which is to effect a Disposition permitted pursuant to </w:t>
      </w:r>
      <w:r>
        <w:rPr>
          <w:rFonts w:ascii="Times New Roman" w:hAnsi="Times New Roman"/>
          <w:color w:val="000000"/>
          <w:sz w:val="22"/>
          <w:u w:val="single"/>
        </w:rPr>
        <w:t>Section 7.05</w:t>
      </w:r>
      <w:r>
        <w:rPr>
          <w:rFonts w:ascii="Times New Roman" w:hAnsi="Times New Roman"/>
          <w:color w:val="000000"/>
          <w:sz w:val="22"/>
        </w:rPr>
        <w:t>, may be effected.</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Notwithstanding anything to the contrary contained herein, in no event shall this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permit the Borrower or any other Loan Party to Dispose of or make any Investment transferring ownership of, or exclusive rights in, any Material Intellectual Property in or to any Person other than a Loan Party or the Equity Interests of any such Person that owns any Material Intellectual Property to any other Person other than the Borrower or any other Loan Party, other than the non-exclusive licensing of such Material Intellectual Property in the ordinary course of business or the exclusive licensing of such Material Intellectual Property in the ordinary course of business to the extent such exclusive license does not interfere in any material respect with the ordinary conduct of the business of the Borrower and its Restricted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7.05 </w:t>
      </w:r>
      <w:r>
        <w:rPr>
          <w:rFonts w:ascii="Times New Roman" w:hAnsi="Times New Roman"/>
          <w:b w:val="false"/>
          <w:color w:val="000000"/>
          <w:sz w:val="22"/>
          <w:u w:val="single"/>
        </w:rPr>
        <w:t>Dispositions</w:t>
      </w:r>
      <w:r>
        <w:rPr>
          <w:rFonts w:ascii="Times New Roman" w:hAnsi="Times New Roman"/>
          <w:b w:val="false"/>
          <w:color w:val="000000"/>
          <w:sz w:val="22"/>
        </w:rPr>
        <w:t>. Make any Disposition, except: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Dispositions of obsolete, worn out or surplus property, whether now owned or hereafter acquired, in the ordinary course of business and Dispositions of property no longer used or useful in the conduct of the business of the Borrower and its Restricted Subsidiaries;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Dispositions of inventory and immaterial assets in the ordinary course of business (including allowing any registrations or any applications for registration of any immaterial IP Rights to lapse or go abandoned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Dispositions of property to the extent that (i) such property is exchanged for credit against the purchase price of similar replacement property that is promptly purchased or (ii) the proceeds of such Disposition are promptly applied to the purchase price of such replacement property (which replacement property is actually promptly purchased);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Dispositions of property to the Borrower or a Restricted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the transferor of such property is a Loan Party (i) the transferee thereof must be a Loan Party, (ii) to the extent such transaction constitutes an Investment, such transaction is permitted under </w:t>
      </w:r>
      <w:r>
        <w:rPr>
          <w:rFonts w:ascii="Times New Roman" w:hAnsi="Times New Roman"/>
          <w:color w:val="000000"/>
          <w:sz w:val="22"/>
          <w:u w:val="single"/>
        </w:rPr>
        <w:t>Section 7.02</w:t>
      </w:r>
      <w:r>
        <w:rPr>
          <w:rFonts w:ascii="Times New Roman" w:hAnsi="Times New Roman"/>
          <w:color w:val="000000"/>
          <w:sz w:val="22"/>
        </w:rPr>
        <w:t>, (iii) such Disposition shall consist of the transfer of Equity Interests in or Indebtedness of any Foreign Subsidiary to any other Foreign Subsidiary or (iv) such Disposition shall consist of the transfer of economic rights with respect to Intellectual Property which does not materially interfere with the business of the Borrower and its Restricted Subsidiaries, taken as a whole;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Dispositions permitted by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 xml:space="preserve">and Liens permitted by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Dispositions in the ordinary course of business of Cash Equivalents;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leases, subleases, licenses or sublicenses (including licenses of Intellectual Property (limited, in the case of Material Intellectual Property, to non-exclusive licenses with respect thereto and exclusive licenses which do not interfere in any material respect with the ordinary conduct of business by Borrower and its Restricted Subsidiaries)), in each case in the ordinary course of business and which do not materially interfere with the business of the Borrower and its Restricted Subsidiaries, taken as a whole;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transfers of property subject to Casualty Events;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Dispositions of Investments in JV Entities or non-Wholly Owned Restricted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Dispositions may be made pursuant to this </w:t>
      </w:r>
      <w:r>
        <w:rPr>
          <w:rFonts w:ascii="Times New Roman" w:hAnsi="Times New Roman"/>
          <w:color w:val="000000"/>
          <w:sz w:val="22"/>
          <w:u w:val="single"/>
        </w:rPr>
        <w:t>Section 7.05(i)</w:t>
      </w:r>
      <w:r>
        <w:rPr>
          <w:rFonts w:ascii="Times New Roman" w:hAnsi="Times New Roman"/>
          <w:color w:val="000000"/>
          <w:sz w:val="20"/>
        </w:rPr>
        <w:t xml:space="preserve"> </w:t>
      </w:r>
      <w:r>
        <w:rPr>
          <w:rFonts w:ascii="Times New Roman" w:hAnsi="Times New Roman"/>
          <w:color w:val="000000"/>
          <w:sz w:val="22"/>
        </w:rPr>
        <w:t xml:space="preserve">to the extent such JV Entity or non-Wholly Owned Restricted Subsidiary was, prior to a previous Disposition of Equity Interests in such JV Entity or non-Wholly Owned Restricted Subsidiary made pursuant to another provision of this </w:t>
      </w:r>
      <w:r>
        <w:rPr>
          <w:rFonts w:ascii="Times New Roman" w:hAnsi="Times New Roman"/>
          <w:color w:val="000000"/>
          <w:sz w:val="22"/>
          <w:u w:val="single"/>
        </w:rPr>
        <w:t>Section 7.05</w:t>
      </w:r>
      <w:r>
        <w:rPr>
          <w:rFonts w:ascii="Times New Roman" w:hAnsi="Times New Roman"/>
          <w:color w:val="000000"/>
          <w:sz w:val="22"/>
        </w:rPr>
        <w:t xml:space="preserve">, a Wholly Owned Restricted Subsidiary, and such Dispositions pursuant to such other provision of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this </w:t>
      </w:r>
      <w:r>
        <w:rPr>
          <w:rFonts w:ascii="Times New Roman" w:hAnsi="Times New Roman"/>
          <w:color w:val="000000"/>
          <w:sz w:val="22"/>
          <w:u w:val="single"/>
        </w:rPr>
        <w:t>Section 7.05(i)</w:t>
      </w:r>
      <w:r>
        <w:rPr>
          <w:rFonts w:ascii="Times New Roman" w:hAnsi="Times New Roman"/>
          <w:color w:val="000000"/>
          <w:sz w:val="20"/>
        </w:rPr>
        <w:t xml:space="preserve"> </w:t>
      </w:r>
      <w:r>
        <w:rPr>
          <w:rFonts w:ascii="Times New Roman" w:hAnsi="Times New Roman"/>
          <w:color w:val="000000"/>
          <w:sz w:val="22"/>
        </w:rPr>
        <w:t>were part of a single Disposition or series of related Disposition, other than to the extent required by, or made pursuant to, customary buy/sell arrangements between the parties to such JV Entity or shareholders of such non-Wholly Owned Restricted Subsidiary set forth in the shareholders agreements, joint venture agreements, organizational documents or similar binding agreements relating to such JV Entity or non-Wholly Owned Restricted Subsidiary.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(j) Dispositions of accounts receivable in the ordinary course of business in connection with the collection or compromise thereof or pursuant to factoring arrangements, in each case to the extent not constituting a receivables financing;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(k) the unwinding of any Swap Contract pursuant to its terms;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(l) Permitted Sale Leasebacks;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(m) so long as no Event of Default has occurred and is continuing on the date of entry into a binding agreement with respect thereto or would result therefrom, Dispositions not otherwise permitted pursuant to this </w:t>
      </w:r>
      <w:r>
        <w:rPr>
          <w:rFonts w:ascii="Times New Roman" w:hAnsi="Times New Roman"/>
          <w:color w:val="000000"/>
          <w:sz w:val="22"/>
          <w:u w:val="single"/>
        </w:rPr>
        <w:t>Section 7.05</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Disposition shall be for fair market value as reasonably determined by the Borrower in good faith, (ii) with respect to any Disposition pursuant to this </w:t>
      </w:r>
      <w:r>
        <w:rPr>
          <w:rFonts w:ascii="Times New Roman" w:hAnsi="Times New Roman"/>
          <w:color w:val="000000"/>
          <w:sz w:val="22"/>
          <w:u w:val="single"/>
        </w:rPr>
        <w:t>clause (m)</w:t>
      </w:r>
      <w:r>
        <w:rPr>
          <w:rFonts w:ascii="Times New Roman" w:hAnsi="Times New Roman"/>
          <w:color w:val="000000"/>
          <w:sz w:val="20"/>
        </w:rPr>
        <w:t xml:space="preserve"> </w:t>
      </w:r>
      <w:r>
        <w:rPr>
          <w:rFonts w:ascii="Times New Roman" w:hAnsi="Times New Roman"/>
          <w:color w:val="000000"/>
          <w:sz w:val="22"/>
        </w:rPr>
        <w:t>for a purchase price in excess of $6,000,000, the Borrower or any applicable Restricted Subsidiary shall receive not less than 75.0% of such consideration in the form of cash or Cash Equivalents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for the purposes of this </w:t>
      </w:r>
      <w:r>
        <w:rPr>
          <w:rFonts w:ascii="Times New Roman" w:hAnsi="Times New Roman"/>
          <w:color w:val="000000"/>
          <w:sz w:val="22"/>
          <w:u w:val="single"/>
        </w:rPr>
        <w:t>clause (m)(ii)</w:t>
      </w:r>
      <w:r>
        <w:rPr>
          <w:rFonts w:ascii="Times New Roman" w:hAnsi="Times New Roman"/>
          <w:color w:val="000000"/>
          <w:sz w:val="22"/>
        </w:rPr>
        <w:t xml:space="preserve">, the following shall be deemed to be cash: (A) the assumption by the transferee of Indebtedness or other liabilities contingent or otherwise of the Borrower or any of its Restricted Subsidiaries (other than Subordinated Debt) and the valid release of the Borrower or such Restricted Subsidiary, by all applicable creditors in writing, from all liability on such Indebtedness or other liability in connection with such Disposition, (B) securities, notes or other obligations received by the Borrower or any of its Restricted Subsidiaries from the transferee that are converted by the Borrower or any of its Restricted Subsidiaries into cash or Cash Equivalents within 180 days following the closing of such Disposition, (C) Indebtedness (other than Subordinated Debt) of any Restricted Subsidiary that is no longer a Restricted Subsidiary as a result of such Disposition, to the extent that the Borrower and each other Restricted Subsidiary are released from any Guarantee of payment of such Indebtedness in connection with such Disposition and (D) the aggregate Designated Non-Cash Consideration received by the Borrower and its Restricted Subsidiaries for all Dispositions under this </w:t>
      </w:r>
      <w:r>
        <w:rPr>
          <w:rFonts w:ascii="Times New Roman" w:hAnsi="Times New Roman"/>
          <w:color w:val="000000"/>
          <w:sz w:val="22"/>
          <w:u w:val="single"/>
        </w:rPr>
        <w:t>clause (m)</w:t>
      </w:r>
      <w:r>
        <w:rPr>
          <w:rFonts w:ascii="Times New Roman" w:hAnsi="Times New Roman"/>
          <w:color w:val="000000"/>
          <w:sz w:val="20"/>
        </w:rPr>
        <w:t xml:space="preserve"> </w:t>
      </w:r>
      <w:r>
        <w:rPr>
          <w:rFonts w:ascii="Times New Roman" w:hAnsi="Times New Roman"/>
          <w:color w:val="000000"/>
          <w:sz w:val="22"/>
        </w:rPr>
        <w:t xml:space="preserve">having an aggregate fair market value (determined as of the closing of the applicable Disposition for which such Designated Non-Cash Consideration is received) not to exceed $6,000,000 at any time outstanding (net of any Designated Non-Cash Consideration converted into cash and Cash Equivalents received in respect of any such Designated Non-Cash Consideration and calculated on a Pro Forma Basis)) and (iv) the Borrower or the applicable Restricted Subsidiary complies with the applicable provisions of </w:t>
      </w:r>
      <w:r>
        <w:rPr>
          <w:rFonts w:ascii="Times New Roman" w:hAnsi="Times New Roman"/>
          <w:color w:val="000000"/>
          <w:sz w:val="22"/>
          <w:u w:val="single"/>
        </w:rPr>
        <w:t>Section 2.05</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(n) the Borrower and its Restricted Subsidiaries may surrender or waive contractual rights and settle or waive contractual or litigation claims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(o) Dispositions of non-core or obsolete assets acquired in connection with Permitted Acquisitions occurring after the Closing Date;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(p) any swap of assets in exchange for services or other assets in the ordinary course of business of comparable or greater fair market value of usefulness to the business of the Borrower and its Restricted Subsidiaries as a whole, as determined in good faith by the Borrower;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(q) any sale of Equity Interests in, or Indebtedness or other securities of, an Unrestricted Subsidiary;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(r) Dispositions consummated in connection with a Permitted Tax Restructuring;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(s) Dispositions not otherwise permitted pursuant to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in an aggregate not to exceed the greater of (x) $20,000,000 and (y) 20% of Consolidated EBITDA of the Borrower for the most recently ended Test Period calculated on a Pro Forma Basis.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To the extent any Collateral is disposed of as expressly permitted by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to any Person other than the Borrower or a Guarantor, such Collateral shall be sold free and clear of the Liens created by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Loan Documents and, if requested by the Administrative Agent, upon the certification by the Borrower that such Disposition is permitted by this Agreement, the Administrative Agent or the Collateral Agent, as applicable, shall be authorized to take and shall take any actions deemed appropriate in order to effect the foregoing.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anything to the contrary contained herein, in no event shall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permit the Borrower or any other Loan Party to Dispose of any Material Intellectual Property to any Person other than a Loan Party or the Equity Interests of any such Person that owns any Material Intellectual Property to any other Person other than the Borrower or any other Loan Party, other than the non-exclusive licensing of such Material Intellectual Property in the ordinary course of business or the exclusive licensing of such Material Intellectual Property in the ordinary course of business to the extent such exclusive license does not interfere in any material respect with the ordinary conduct of the business of the Borrower and its Restricted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7.06 </w:t>
      </w:r>
      <w:r>
        <w:rPr>
          <w:rFonts w:ascii="Times New Roman" w:hAnsi="Times New Roman"/>
          <w:b w:val="false"/>
          <w:color w:val="000000"/>
          <w:sz w:val="22"/>
          <w:u w:val="single"/>
        </w:rPr>
        <w:t>Restricted Payments</w:t>
      </w:r>
      <w:r>
        <w:rPr>
          <w:rFonts w:ascii="Times New Roman" w:hAnsi="Times New Roman"/>
          <w:b w:val="false"/>
          <w:color w:val="000000"/>
          <w:sz w:val="22"/>
        </w:rPr>
        <w:t>. Declare or make, directly or indirectly, any Restricted Payment, except: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each Restricted Subsidiary may make Restricted Payments to the Borrower and to other Restricted Subsidiaries (and, in the case of a Restricted Payment by a non-Wholly Owned Restricted Subsidiary, to the Borrower and any other Restricted Subsidiary and to each other owner of Equity Interests of such Restricted Subsidiary based on their relative ownership interests of the relevant class of Equity Interests);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 the Borrower may (or may make Restricted Payments to permit any direct or indirect parent thereof to) redeem in whole or in part any of its Equity Interests for another class of its (or such parent’s) Equity Interests or rights to acquire its Equity Interests or with proceeds from substantially concurrent equity contributions or issuances of new Equity Interests,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terms and provisions material to the interests of the Lenders, when taken as a whole, contained in such other class of Equity Interests are at least as advantageous to the Lenders as those contained in the Equity Interests redeemed thereby and (ii) the Borrower may declare and make dividend payments or other distributions payable solely in Qualified Equity Interests (to the extent not utilized in connection with any other transactions permitted pursuant to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Section 7.03</w:t>
      </w:r>
      <w:r>
        <w:rPr>
          <w:rFonts w:ascii="Times New Roman" w:hAnsi="Times New Roman"/>
          <w:color w:val="000000"/>
          <w:sz w:val="22"/>
        </w:rPr>
        <w:t xml:space="preserve">,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7.08</w:t>
      </w:r>
      <w:r>
        <w:rPr>
          <w:rFonts w:ascii="Times New Roman" w:hAnsi="Times New Roman"/>
          <w:color w:val="000000"/>
          <w:sz w:val="20"/>
        </w:rPr>
        <w:t xml:space="preserve"> </w:t>
      </w:r>
      <w:r>
        <w:rPr>
          <w:rFonts w:ascii="Times New Roman" w:hAnsi="Times New Roman"/>
          <w:color w:val="000000"/>
          <w:sz w:val="22"/>
        </w:rPr>
        <w:t>(or to build the Available Amount or Excluded Contribution Amount));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[reserved];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to the extent constituting Restricted Payments, the Borrower and its Restricted Subsidiaries may enter into and consummate transactions expressly permitted by any provision of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7.07</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repurchases of Equity Interests in the ordinary course of business in the Borrower (or any direct or indirect parent thereof) or any Restricted Subsidiary deemed to occur upon exercise of stock options or warrants if such Equity Interests represent a portion of the exercise price of such options or warrants or deemed to occur upon the issuance of such Equity Interests in connection with withholding obligations with respect thereto;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the Borrower or any Restricted Subsidiary may, in good faith, pay (or make Restricted Payments to allow any direct or indirect parent thereof to pay) for the repurchase, retirement or other acquisition or retirement for value of Equity Interests of it or any direct or indirect parent thereof held by any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approval of the applicable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Equity Interest repurchase by the board of directors of the Borrower (or, if board approval is not required, by an officer of Borrower), the Total Net Leverage Ratio (calculated on a Pro Forma Basis) as of the last day of the most recently ended Test Period shall not exceed 3.00:1.00 (</w:t>
      </w:r>
      <w:r>
        <w:rPr>
          <w:rFonts w:ascii="Times New Roman" w:hAnsi="Times New Roman"/>
          <w:color w:val="000000"/>
          <w:sz w:val="22"/>
          <w:u w:val="single"/>
        </w:rPr>
        <w:t>provided</w:t>
      </w:r>
      <w:r>
        <w:rPr>
          <w:rFonts w:ascii="Times New Roman" w:hAnsi="Times New Roman"/>
          <w:color w:val="000000"/>
          <w:sz w:val="22"/>
        </w:rPr>
        <w:t xml:space="preserve">, that for purposes of the calculation of Total Net Leverage Ratio solely for this </w:t>
      </w:r>
      <w:r>
        <w:rPr>
          <w:rFonts w:ascii="Times New Roman" w:hAnsi="Times New Roman"/>
          <w:color w:val="000000"/>
          <w:sz w:val="22"/>
          <w:u w:val="single"/>
        </w:rPr>
        <w:t>Section 7.06(f)</w:t>
      </w:r>
      <w:r>
        <w:rPr>
          <w:rFonts w:ascii="Times New Roman" w:hAnsi="Times New Roman"/>
          <w:color w:val="000000"/>
          <w:sz w:val="22"/>
        </w:rPr>
        <w:t xml:space="preserve">, the amount of cash and Cash Equivalents deducted pursuant to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 xml:space="preserve">of the definition of “Total Net Leverage Ratio” shall be reduced by the maximum aggregate amount that may be paid by Borrower or any Restricted Subsidiary to execute the applicable approved Equity Interest repurchase);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cancellation of Indebtedness owing to the Borrower (or any direct or indirect parent thereof) or any of its Subsidiaries from members of management of the Borrower, any of the Borrower’s direct or indirect parent companies or any of the Borrower’s Restricted Subsidiaries in connection with a repurchase of Equity Interests of any of the Borrower’s direct or indirect parent companies will not be deemed to constitute a Restricted Payment for purposes of this covenant or any other provision of this Agreement;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(g) the Borrower and its Restricted Subsidiaries may make Restricted Payments to any direct or indirect parent of an Equity Interest in the Borrower: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the proceeds of which will be used to make Permitted Tax Distributions;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(ii) the proceeds of which shall be used to pay such equity holder’s operating costs and expenses incurred in the ordinary course of business, other overhead costs and expenses and fees (including (v) administrative, legal, accounting and similar expenses provided by third parties, (w) trustee, directors, managers and general partner fees, (x) any judgments, settlements, penalties, fines or other costs and expenses in respect of any claim, litigation or proceeding, (y) fees and expenses (including any underwriters discounts and commissions) related to any investment or acquisition transaction (whether or not successful) and (z) payments in respect of indebtedness and equity securities of any direct or indirect holder of Equity Interests in the Borrower to the extent the proceeds are used or will be used to pay expenses or other obligations described in this </w:t>
      </w:r>
      <w:r>
        <w:rPr>
          <w:rFonts w:ascii="Times New Roman" w:hAnsi="Times New Roman"/>
          <w:color w:val="000000"/>
          <w:sz w:val="22"/>
          <w:u w:val="single"/>
        </w:rPr>
        <w:t>Section 7.06(g)</w:t>
      </w:r>
      <w:r>
        <w:rPr>
          <w:rFonts w:ascii="Times New Roman" w:hAnsi="Times New Roman"/>
          <w:color w:val="000000"/>
          <w:sz w:val="22"/>
        </w:rPr>
        <w:t>), in each case, which are reasonable and customary, incurred in the ordinary course of business and attributable to the ownership or operations of the Borrower and its Subsidiaries (including any reasonable and customary indemnification claims made by directors, managers or officers of any direct or indirect parent of the Borrower attributable to the direct or indirect ownership or operations of the Borrower and its Subsidiaries);</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(iii) the proceeds of which shall be used to pay franchise and excise taxes, and other fees and expenses, required to maintain its (or any of its direct or indirect parents’) corporate or organizational existence;</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(iv) to finance any Investment permitted to be made pursuant to </w:t>
      </w:r>
      <w:r>
        <w:rPr>
          <w:rFonts w:ascii="Times New Roman" w:hAnsi="Times New Roman"/>
          <w:color w:val="000000"/>
          <w:sz w:val="22"/>
          <w:u w:val="single"/>
        </w:rPr>
        <w:t>Section 7.02</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 such Restricted Payment shall be made substantially concurrently with the closing of such Investment and (B) the Borrower or such parent shall, immediately following the closing thereof, cause (1) all property acquired (whether assets or Equity Interests) to be held by or contributed to the Borrower or a Restricted Subsidiary or (2) the merger or amalgamation (to the extent permitted in </w:t>
      </w:r>
      <w:r>
        <w:rPr>
          <w:rFonts w:ascii="Times New Roman" w:hAnsi="Times New Roman"/>
          <w:color w:val="000000"/>
          <w:sz w:val="22"/>
          <w:u w:val="single"/>
        </w:rPr>
        <w:t>Section 7.04</w:t>
      </w:r>
      <w:r>
        <w:rPr>
          <w:rFonts w:ascii="Times New Roman" w:hAnsi="Times New Roman"/>
          <w:color w:val="000000"/>
          <w:sz w:val="22"/>
        </w:rPr>
        <w:t xml:space="preserve">) of the Person formed or acquired into it or a Restricted Subsidiary in order to consummate such Permitted Acquisition, in each case, in accordance with the requirements of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 the proceeds of which shall be used to pay customary costs, fees and expenses (other than to Affiliates) related to any unsuccessful equity or debt offering permitted by this Agreement or related to a Qualifying IPO; and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(vi) the proceeds of which shall be used to pay customary salary, bonus and other benefits payable to officers and employees of any direct or indirect parent company or partner of the Borrower to the extent such salaries, bonuses and other benefits are attributable to the ownership or operation of the Borrower and its Restricted Subsidiaries;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the Borrower or any Restricted Subsidiary may pay any dividend or distribution within 60 days after the date of declaration thereof, if at the date of declaration such payment would have complied with the provisions of this Agreement (it being understood that a distribution pursuant to this </w:t>
      </w:r>
      <w:r>
        <w:rPr>
          <w:rFonts w:ascii="Times New Roman" w:hAnsi="Times New Roman"/>
          <w:color w:val="000000"/>
          <w:sz w:val="22"/>
          <w:u w:val="single"/>
        </w:rPr>
        <w:t>Section 7.06(h)</w:t>
      </w:r>
      <w:r>
        <w:rPr>
          <w:rFonts w:ascii="Times New Roman" w:hAnsi="Times New Roman"/>
          <w:color w:val="000000"/>
          <w:sz w:val="20"/>
        </w:rPr>
        <w:t xml:space="preserve"> </w:t>
      </w:r>
      <w:r>
        <w:rPr>
          <w:rFonts w:ascii="Times New Roman" w:hAnsi="Times New Roman"/>
          <w:color w:val="000000"/>
          <w:sz w:val="22"/>
        </w:rPr>
        <w:t>shall be deemed to have utilized capacity under such other provision of this Agreement);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 the Borrower or any Restricted Subsidiary may (i) pay cash in lieu of fractional Equity Interests in connection with any dividend, split or combination thereof or any Permitted Acquisition and (ii) honor any conversion request by a holder of convertible Indebtedness and make cash payments in lieu of fractional shares in connection with any such conversion and may make payments on convertible Indebtedness in accordance with its terms;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(j) so long as no Event of Default shall have occurred and be continuing or would result therefrom, the Borrower or any Restricted Subsidiary may make additional Restricted Payments in an amount not to exceed the greater of (x) $25,000,000 and (y) 25% of Consolidated EBITDA of the Borrower for the most recently ended Test Period calculated on a Pro Forma Basis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amounts reallocated from this clause (j) to </w:t>
      </w:r>
      <w:r>
        <w:rPr>
          <w:rFonts w:ascii="Times New Roman" w:hAnsi="Times New Roman"/>
          <w:color w:val="000000"/>
          <w:sz w:val="22"/>
          <w:u w:val="single"/>
        </w:rPr>
        <w:t>Sections 7.02(t)</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7.08(a)(iii)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(k) the Borrower or any Restricted Subsidiary may make additional Restricted Payments in an amount not to exceed the Available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any such Restricted Payment no Event of Default shall have occurred and be continuing or would result therefrom;</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(l) after a Qualifying IPO, (i) any Restricted Payment by the Borrower or any other direct or indirect parent of the Borrower the proceeds of which will be used to pay listing fees and other costs and expenses attributable to being a publicly traded company which are reasonable and customary, including Public Company Costs and (ii) so long as no Default or Event of Default has occurred and is continuing, Restricted Payments not to exceed up to 6.00% </w:t>
      </w:r>
      <w:r>
        <w:rPr>
          <w:rFonts w:ascii="Times New Roman" w:hAnsi="Times New Roman"/>
          <w:i/>
          <w:color w:val="000000"/>
          <w:sz w:val="22"/>
        </w:rPr>
        <w:t>per annum</w:t>
      </w:r>
      <w:r>
        <w:rPr>
          <w:rFonts w:ascii="Times New Roman" w:hAnsi="Times New Roman"/>
          <w:color w:val="000000"/>
          <w:sz w:val="20"/>
        </w:rPr>
        <w:t xml:space="preserve"> </w:t>
      </w:r>
      <w:r>
        <w:rPr>
          <w:rFonts w:ascii="Times New Roman" w:hAnsi="Times New Roman"/>
          <w:color w:val="000000"/>
          <w:sz w:val="22"/>
        </w:rPr>
        <w:t>of the Net Cash Proceeds received by (or contributed to) the Borrower and its Restricted Subsidiaries from such Qualifying IPO;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(m) the Borrower or any Restricted Subsidiary may make additional Restricted Payments in an amount not to exceed the Excluded Contribution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any such Restricted Payment, no Specified Event of Default shall have occurred and be continuing or would result therefrom;</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(n) [reserved];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(o) the Borrower or any Restricted Subsidiary may pay any dividend or distribution on any Disqualified Equity Interests incurred in accordance with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in no event shall this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permit the Borrower or any other Loan Party to make a Restricted Payment of any Material Intellectual Property or the Equity Interests of any Person that holds legal title of any Material Intellectual Property to any other Person other than the Borrower or any Subsidiary Guarantor, other than, to the extent constituting Restricted Payments, the non-exclusive licensing of such Material Intellectual Property in the ordinary course of business or the exclusive licensing</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such Material Intellectual Property in the ordinary course of business to the extent such exclusive license does not interfere in any material respect with the ordinary conduct of the business of the Borrower and its Restricted Subsidiaries.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7.07 </w:t>
      </w:r>
      <w:r>
        <w:rPr>
          <w:rFonts w:ascii="Times New Roman" w:hAnsi="Times New Roman"/>
          <w:b w:val="false"/>
          <w:color w:val="000000"/>
          <w:sz w:val="22"/>
          <w:u w:val="single"/>
        </w:rPr>
        <w:t>Transactions with Affiliates</w:t>
      </w:r>
      <w:r>
        <w:rPr>
          <w:rFonts w:ascii="Times New Roman" w:hAnsi="Times New Roman"/>
          <w:b w:val="false"/>
          <w:color w:val="000000"/>
          <w:sz w:val="22"/>
        </w:rPr>
        <w:t>. Enter into any transaction of any kind with any Affiliate of the Borrower with a fair market value in excess of $6,000,000, whether or not in the ordinary course of business, other than:</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transactions between or among the Borrower or any Restricted Subsidiary or any entity that becomes a Restricted Subsidiary (in each case, other than Investments made by a Loan Party, on the one hand, to a Non-Loan Party, on the other hand) as a result of such transaction to the extent such transactions are not otherwise prohibited under this Agreement;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transactions on terms not less favorable to the Borrower or such Restricted Subsidiary as would be obtainable by the Borrower or such Restricted Subsidiary at the time in a comparable arm’s-length transaction with a Person other than an Affiliate;</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the Transactions and the payment of fees and expenses related to the Transactions;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the issuance of Equity Interests to any officer, director, manager, employee or consultant of the Borrower or any of its Subsidiaries or any direct or indirect parent of the Borrower;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[reserved];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equity issuances, repurchases, redemptions, retirements or other acquisitions or retirements of Equity Interests by the Borrower or any Restricted Subsidiary permitted under </w:t>
      </w:r>
      <w:r>
        <w:rPr>
          <w:rFonts w:ascii="Times New Roman" w:hAnsi="Times New Roman"/>
          <w:color w:val="000000"/>
          <w:sz w:val="22"/>
          <w:u w:val="single"/>
        </w:rPr>
        <w:t>Section 7.06</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loans and other transactions by and among the Borrower and/or one or more Subsidiaries to the extent permitted under this </w:t>
      </w:r>
      <w:r>
        <w:rPr>
          <w:rFonts w:ascii="Times New Roman" w:hAnsi="Times New Roman"/>
          <w:color w:val="000000"/>
          <w:sz w:val="22"/>
          <w:u w:val="single"/>
        </w:rPr>
        <w:t>Article VII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employment, incentive and severance arrangements between each the Borrower or any of its Subsidiaries and their respective officers and employees in the ordinary course of business and transactions pursuant to incentive and employee benefit plans and arrangements;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(i) [reserved];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(j) the payment of customary fees and reasonable out-of-pocket costs to, and indemnities provided on behalf of, directors, managers, officers, employees and consultants of the Borrower and its Restricted Subsidiaries or any direct or indirect parent of the Borrower in the ordinary course of business to the extent attributable to the ownership or operation of the Borrower and its Restricted Subsidiaries;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(k) transactions pursuant to agreements in existence on the Closing Date and set forth on </w:t>
      </w:r>
      <w:r>
        <w:rPr>
          <w:rFonts w:ascii="Times New Roman" w:hAnsi="Times New Roman"/>
          <w:color w:val="000000"/>
          <w:sz w:val="22"/>
          <w:u w:val="single"/>
        </w:rPr>
        <w:t>Schedule 7.07</w:t>
      </w:r>
      <w:r>
        <w:rPr>
          <w:rFonts w:ascii="Times New Roman" w:hAnsi="Times New Roman"/>
          <w:color w:val="000000"/>
          <w:sz w:val="20"/>
        </w:rPr>
        <w:t xml:space="preserve"> </w:t>
      </w:r>
      <w:r>
        <w:rPr>
          <w:rFonts w:ascii="Times New Roman" w:hAnsi="Times New Roman"/>
          <w:color w:val="000000"/>
          <w:sz w:val="22"/>
        </w:rPr>
        <w:t>or any amendment thereto to the extent such an amendment is not adverse to the Lenders in any material respect;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(l) dividends and other distributions permitted under </w:t>
      </w:r>
      <w:r>
        <w:rPr>
          <w:rFonts w:ascii="Times New Roman" w:hAnsi="Times New Roman"/>
          <w:color w:val="000000"/>
          <w:sz w:val="22"/>
          <w:u w:val="single"/>
        </w:rPr>
        <w:t>Section 7.06</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(m) [reserved];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(n) transactions entered into by an Unrestricted Subsidiary with an Affiliate prior to the re-designation of any such Unrestricted Subsidiary as a Restricted Subsidiary pursuant to the definition of “Unrestricted Subsidiary”;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transactions were not entered into in contemplation of such re-designation;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(o) transactions in connection with Permitted Tax Restructurings.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7.08 </w:t>
      </w:r>
      <w:r>
        <w:rPr>
          <w:rFonts w:ascii="Times New Roman" w:hAnsi="Times New Roman"/>
          <w:b w:val="false"/>
          <w:color w:val="000000"/>
          <w:sz w:val="22"/>
          <w:u w:val="single"/>
        </w:rPr>
        <w:t>Prepayments, Etc., of Indebtedness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Prepay, redeem, purchase, defease or otherwise satisfy prior to the scheduled maturity thereof in any manner any Specified Indebtedness (it being understood that payments of regularly scheduled interest, AHYDO payments and mandatory prepayments under any such Specified Debt Documents shall not be prohibited by this clause), except for (i) the refinancing thereof with the Net Cash Proceeds of any such Indebtedness (to the extent such Indebtedness constitutes a Permitted Refinancing), (ii) the conversion thereof to Equity Interests (other than Disqualified Equity Interests) of the Borrower or any of their direct or indirect parents, (iii) prepayments, redemptions, purchases, defeasances and other payments thereof prior to their scheduled maturity in an aggregate amount not to exceed the greater of (x) $25,000,000 and (y) 25% of Consolidated EBITDA of the Borrower for the most recently ended Test Period calculated on a Pro Forma Basis </w:t>
      </w:r>
      <w:r>
        <w:rPr>
          <w:rFonts w:ascii="Times New Roman" w:hAnsi="Times New Roman"/>
          <w:color w:val="000000"/>
          <w:sz w:val="22"/>
          <w:u w:val="single"/>
        </w:rPr>
        <w:t>minus</w:t>
      </w:r>
      <w:r>
        <w:rPr>
          <w:rFonts w:ascii="Times New Roman" w:hAnsi="Times New Roman"/>
          <w:color w:val="000000"/>
          <w:sz w:val="20"/>
        </w:rPr>
        <w:t xml:space="preserve"> </w:t>
      </w:r>
      <w:r>
        <w:rPr>
          <w:rFonts w:ascii="Times New Roman" w:hAnsi="Times New Roman"/>
          <w:color w:val="000000"/>
          <w:sz w:val="22"/>
        </w:rPr>
        <w:t xml:space="preserve">amounts reallocated from this clause (iii) to </w:t>
      </w:r>
      <w:r>
        <w:rPr>
          <w:rFonts w:ascii="Times New Roman" w:hAnsi="Times New Roman"/>
          <w:color w:val="000000"/>
          <w:sz w:val="22"/>
          <w:u w:val="single"/>
        </w:rPr>
        <w:t>Section 7.06(j)</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7.02(t)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at the time of any such prepayment, redemption, purchase, defeasance and other payment no Event of Default shall have occurred and be continuing or would result therefrom and (iv) prepayments, redemptions, purchases, defeasances and other payments thereof prior to their scheduled maturity in an aggregate amount not to exceed (A) the Available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at the time of any such prepayment, redemption, purchase, defeasance and other payment no Event of Default shall have occurred and be continuing or would result therefrom,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the Excluded Contribution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at the time of any such prepayment, redemption, purchase, defeasance and other payment, no Specified Event of Default shall have occurred and be continuing or would result therefrom).</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Amend, modify or change in any manner materially adverse to the interests of the Lenders any term or condition of any Specified Debt Documents without the consent of the Required Lenders (not to be unreasonably withheld or delayed).</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7.09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7.10 </w:t>
      </w:r>
      <w:r>
        <w:rPr>
          <w:rFonts w:ascii="Times New Roman" w:hAnsi="Times New Roman"/>
          <w:b w:val="false"/>
          <w:color w:val="000000"/>
          <w:sz w:val="22"/>
          <w:u w:val="single"/>
        </w:rPr>
        <w:t>Subsidiary Distributions</w:t>
      </w:r>
      <w:r>
        <w:rPr>
          <w:rFonts w:ascii="Times New Roman" w:hAnsi="Times New Roman"/>
          <w:b w:val="false"/>
          <w:color w:val="000000"/>
          <w:sz w:val="22"/>
        </w:rPr>
        <w:t xml:space="preserve">. Enter into any agreement, instrument, deed or lease which prohibits or limits the ability of any Restricted Subsidiary to pay dividends or other distributions with respect to any of its Equity Interests;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the foregoing shall not apply 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restrictions and conditions imposed by (A) law or (B) any Loan Document;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restrictions and conditions existing on the Closing Date or to any extension, renewal, amendment, modification or replacement thereof, except to the extent any such amendment, modification or replacement expands the scope of any such restriction or condition;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customary restrictions and conditions arising in connection with any Disposition permitted by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customary provisions in leases, licenses and other contracts restricting the assignment thereof;</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restrictions imposed by any agreement relating to secured Indebtedness permitted by this Agreement to the extent such restriction applies only to the property securing such Indebtedness;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any restrictions or conditions set forth in any agreement in effect at any time any Person becomes a Restricted Subsidiary (but not any modification or amendment expanding the scope of any such restriction or condition),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agreement was not entered into in contemplation of such Person becoming a Restricted Subsidiary and the restriction or condition set forth in such agreement does not apply to each Borrower or any other Restricted Subsidiary;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any restrictions or conditions in any Indebtedness permitted pursuant to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or by the definitions of “Refinancing Term Loans” and “Refinancing Revolving Commitments” hereof to the extent such restrictions or conditions are no more restrictive than the restrictions and conditions in the Loan Documents or, in the case of Subordinated Debt, are market terms at the time of issuance or, in the case of Indebtedness of any Non-Loan Party, are imposed solely on such Non-Loan Party and its Subsidiaries,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such restrictions or conditions permit compliance with the Collateral and Guarantee Requirement and </w:t>
      </w:r>
      <w:r>
        <w:rPr>
          <w:rFonts w:ascii="Times New Roman" w:hAnsi="Times New Roman"/>
          <w:color w:val="000000"/>
          <w:sz w:val="22"/>
          <w:u w:val="single"/>
        </w:rPr>
        <w:t>Section 6.11</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(h) any restrictions on cash or other deposits imposed by agreements entered into in the ordinary course of business;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customary provisions in shareholders agreements, joint venture agreements, organizational documents or similar binding agreements relating to any JV Entity or non-Wholly Owned Restricted Subsidiary and other similar agreements applicable to JV Entities and non-Wholly Owned Restricted Subsidiaries permitted under </w:t>
      </w:r>
      <w:r>
        <w:rPr>
          <w:rFonts w:ascii="Times New Roman" w:hAnsi="Times New Roman"/>
          <w:color w:val="000000"/>
          <w:sz w:val="22"/>
          <w:u w:val="single"/>
        </w:rPr>
        <w:t>Section 7.02</w:t>
      </w:r>
      <w:r>
        <w:rPr>
          <w:rFonts w:ascii="Times New Roman" w:hAnsi="Times New Roman"/>
          <w:color w:val="000000"/>
          <w:sz w:val="20"/>
        </w:rPr>
        <w:t xml:space="preserve"> </w:t>
      </w:r>
      <w:r>
        <w:rPr>
          <w:rFonts w:ascii="Times New Roman" w:hAnsi="Times New Roman"/>
          <w:color w:val="000000"/>
          <w:sz w:val="22"/>
        </w:rPr>
        <w:t>and applicable solely to such JV Entity or non-Wholly Owned Restricted Subsidiary and the Equity Interests issued thereby;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(j) customary restrictions in leases, subleases, licenses or asset sale agreements and other similar contracts otherwise permitted hereby so long as such restrictions relate only to the assets subject thereto;</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(k) customary provisions restricting assignment of any agreement entered into in the ordinary course of business;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(l) 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(m) restrictions imposed by any agreement governing Indebtedness entered into on or after the Closing Date and permitted under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that are, taken as a whole, in the good faith judgment of the Borrower, no more restrictive with respect to the Borrower or any Restricted Subsidiary than customary market terms for Indebtedness of such type, so long as the Borrower shall have determined in good faith that such restrictions will not adversely affect in any material respect its obligation or ability to make any payments required hereunder.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7.11 </w:t>
      </w:r>
      <w:r>
        <w:rPr>
          <w:rFonts w:ascii="Times New Roman" w:hAnsi="Times New Roman"/>
          <w:b w:val="false"/>
          <w:color w:val="000000"/>
          <w:sz w:val="22"/>
          <w:u w:val="single"/>
        </w:rPr>
        <w:t>Financial Covenant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Maximum Total Net Leverage Ratio</w:t>
      </w:r>
      <w:r>
        <w:rPr>
          <w:rFonts w:ascii="Times New Roman" w:hAnsi="Times New Roman"/>
          <w:color w:val="000000"/>
          <w:sz w:val="22"/>
        </w:rPr>
        <w:t xml:space="preserve">. Permit the Total Net Leverage Ratio on the last day of each Test Period (it being understood and agreed that this </w:t>
      </w:r>
      <w:r>
        <w:rPr>
          <w:rFonts w:ascii="Times New Roman" w:hAnsi="Times New Roman"/>
          <w:color w:val="000000"/>
          <w:sz w:val="22"/>
          <w:u w:val="single"/>
        </w:rPr>
        <w:t>Section 7.11(a)</w:t>
      </w:r>
      <w:r>
        <w:rPr>
          <w:rFonts w:ascii="Times New Roman" w:hAnsi="Times New Roman"/>
          <w:color w:val="000000"/>
          <w:sz w:val="20"/>
        </w:rPr>
        <w:t xml:space="preserve"> </w:t>
      </w:r>
      <w:r>
        <w:rPr>
          <w:rFonts w:ascii="Times New Roman" w:hAnsi="Times New Roman"/>
          <w:color w:val="000000"/>
          <w:sz w:val="22"/>
        </w:rPr>
        <w:t xml:space="preserve">shall not apply until the Test Period ending April 30, 2026) to be in excess of 3.50:1.00;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 Covenant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Holiday Acquisition occurs, the foregoing ratio shall be 4.00:1.00 for the </w:t>
      </w:r>
      <w:r>
        <w:rPr>
          <w:rFonts w:ascii="Times New Roman" w:hAnsi="Times New Roman"/>
          <w:sz w:val="22"/>
        </w:rPr>
        <w:t>fiscal</w:t>
      </w:r>
      <w:r>
        <w:rPr>
          <w:rFonts w:ascii="Times New Roman" w:hAnsi="Times New Roman"/>
          <w:color w:val="000000"/>
          <w:sz w:val="20"/>
        </w:rPr>
        <w:t xml:space="preserve"> </w:t>
      </w:r>
      <w:r>
        <w:rPr>
          <w:rFonts w:ascii="Times New Roman" w:hAnsi="Times New Roman"/>
          <w:color w:val="000000"/>
          <w:sz w:val="22"/>
        </w:rPr>
        <w:t>quarter in which the applicable acquisition is consummated and for the three (3) fiscal quarters immediately following such acquisition.</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VIII</w:t>
      </w:r>
      <w:r>
        <w:rPr>
          <w:rFonts w:ascii="Times New Roman" w:hAnsi="Times New Roman"/>
          <w:b w:val="false"/>
          <w:color w:val="000000"/>
          <w:sz w:val="22"/>
          <w:u w:val="single"/>
        </w:rPr>
        <w:br/>
        <w:br/>
        <w:t>Events of Default and Remedies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8.01 </w:t>
      </w:r>
      <w:r>
        <w:rPr>
          <w:rFonts w:ascii="Times New Roman" w:hAnsi="Times New Roman"/>
          <w:b w:val="false"/>
          <w:color w:val="000000"/>
          <w:sz w:val="22"/>
          <w:u w:val="single"/>
        </w:rPr>
        <w:t>Events of Default</w:t>
      </w:r>
      <w:r>
        <w:rPr>
          <w:rFonts w:ascii="Times New Roman" w:hAnsi="Times New Roman"/>
          <w:b w:val="false"/>
          <w:color w:val="000000"/>
          <w:sz w:val="22"/>
        </w:rPr>
        <w:t xml:space="preserve">. Any of the following events referred to in any of </w:t>
      </w:r>
      <w:r>
        <w:rPr>
          <w:rFonts w:ascii="Times New Roman" w:hAnsi="Times New Roman"/>
          <w:b w:val="false"/>
          <w:color w:val="000000"/>
          <w:sz w:val="22"/>
          <w:u w:val="single"/>
        </w:rPr>
        <w:t>clauses (a)</w:t>
      </w:r>
      <w:r>
        <w:rPr>
          <w:rFonts w:ascii="Times New Roman" w:hAnsi="Times New Roman"/>
          <w:color w:val="000000"/>
          <w:sz w:val="20"/>
        </w:rPr>
        <w:t xml:space="preserve"> </w:t>
      </w:r>
      <w:r>
        <w:rPr>
          <w:rFonts w:ascii="Times New Roman" w:hAnsi="Times New Roman"/>
          <w:b w:val="false"/>
          <w:color w:val="000000"/>
          <w:sz w:val="22"/>
        </w:rPr>
        <w:t xml:space="preserve">through </w:t>
      </w:r>
      <w:r>
        <w:rPr>
          <w:rFonts w:ascii="Times New Roman" w:hAnsi="Times New Roman"/>
          <w:b w:val="false"/>
          <w:color w:val="000000"/>
          <w:sz w:val="22"/>
          <w:u w:val="single"/>
        </w:rPr>
        <w:t>(j)</w:t>
      </w:r>
      <w:r>
        <w:rPr>
          <w:rFonts w:ascii="Times New Roman" w:hAnsi="Times New Roman"/>
          <w:color w:val="000000"/>
          <w:sz w:val="20"/>
        </w:rPr>
        <w:t xml:space="preserve"> </w:t>
      </w:r>
      <w:r>
        <w:rPr>
          <w:rFonts w:ascii="Times New Roman" w:hAnsi="Times New Roman"/>
          <w:b w:val="false"/>
          <w:color w:val="000000"/>
          <w:sz w:val="22"/>
        </w:rPr>
        <w:t xml:space="preserve">inclusive of this </w:t>
      </w:r>
      <w:r>
        <w:rPr>
          <w:rFonts w:ascii="Times New Roman" w:hAnsi="Times New Roman"/>
          <w:b w:val="false"/>
          <w:color w:val="000000"/>
          <w:sz w:val="22"/>
          <w:u w:val="single"/>
        </w:rPr>
        <w:t>Section 8.01</w:t>
      </w:r>
      <w:r>
        <w:rPr>
          <w:rFonts w:ascii="Times New Roman" w:hAnsi="Times New Roman"/>
          <w:color w:val="000000"/>
          <w:sz w:val="20"/>
        </w:rPr>
        <w:t xml:space="preserve"> </w:t>
      </w:r>
      <w:r>
        <w:rPr>
          <w:rFonts w:ascii="Times New Roman" w:hAnsi="Times New Roman"/>
          <w:b w:val="false"/>
          <w:color w:val="000000"/>
          <w:sz w:val="22"/>
        </w:rPr>
        <w:t>shall constitute an “</w:t>
      </w:r>
      <w:r>
        <w:rPr>
          <w:rFonts w:ascii="Times New Roman" w:hAnsi="Times New Roman"/>
          <w:b w:val="false"/>
          <w:color w:val="000000"/>
          <w:sz w:val="22"/>
          <w:u w:val="single"/>
        </w:rPr>
        <w:t>Event of Default</w:t>
      </w:r>
      <w:r>
        <w:rPr>
          <w:rFonts w:ascii="Times New Roman" w:hAnsi="Times New Roman"/>
          <w:color w:val="000000"/>
          <w:sz w:val="20"/>
        </w:rPr>
        <w:t>”</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Non-Payment</w:t>
      </w:r>
      <w:r>
        <w:rPr>
          <w:rFonts w:ascii="Times New Roman" w:hAnsi="Times New Roman"/>
          <w:color w:val="000000"/>
          <w:sz w:val="22"/>
        </w:rPr>
        <w:t>. Any Loan Party fails to pay (i) when and as required to be paid herein, any amount of principal of any Loan or (ii) within five (5) Business Days after the same becomes due, any interest on any Loan or any other amount payable hereunder or with respect to any other Loan Document;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Specific Covenants</w:t>
      </w:r>
      <w:r>
        <w:rPr>
          <w:rFonts w:ascii="Times New Roman" w:hAnsi="Times New Roman"/>
          <w:color w:val="000000"/>
          <w:sz w:val="22"/>
        </w:rPr>
        <w:t xml:space="preserve">. Any Loan Party fails to perform or observe any term, covenant or agreement contained in (I) any of </w:t>
      </w:r>
      <w:r>
        <w:rPr>
          <w:rFonts w:ascii="Times New Roman" w:hAnsi="Times New Roman"/>
          <w:color w:val="000000"/>
          <w:sz w:val="22"/>
          <w:u w:val="single"/>
        </w:rPr>
        <w:t>Section 6.03(a)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6.04</w:t>
      </w:r>
      <w:r>
        <w:rPr>
          <w:rFonts w:ascii="Times New Roman" w:hAnsi="Times New Roman"/>
          <w:color w:val="000000"/>
          <w:sz w:val="20"/>
        </w:rPr>
        <w:t xml:space="preserve"> </w:t>
      </w:r>
      <w:r>
        <w:rPr>
          <w:rFonts w:ascii="Times New Roman" w:hAnsi="Times New Roman"/>
          <w:color w:val="000000"/>
          <w:sz w:val="22"/>
        </w:rPr>
        <w:t xml:space="preserve">(solely with respect to the Borrower) or </w:t>
      </w:r>
      <w:r>
        <w:rPr>
          <w:rFonts w:ascii="Times New Roman" w:hAnsi="Times New Roman"/>
          <w:color w:val="000000"/>
          <w:sz w:val="22"/>
          <w:u w:val="single"/>
        </w:rPr>
        <w:t>Article VII</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0"/>
        </w:rPr>
        <w:t xml:space="preserve"> </w:t>
      </w:r>
      <w:r>
        <w:rPr>
          <w:rFonts w:ascii="Times New Roman" w:hAnsi="Times New Roman"/>
          <w:color w:val="000000"/>
          <w:sz w:val="22"/>
        </w:rPr>
        <w:t xml:space="preserve">(i) a Default or Event of Default in respect of Section 7.11 shall be subject to a cure in accordance with the applicable provisions in </w:t>
      </w: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rPr>
        <w:t>and (ii)</w:t>
      </w:r>
      <w:r>
        <w:rPr>
          <w:rFonts w:ascii="Times New Roman" w:hAnsi="Times New Roman"/>
          <w:color w:val="008000"/>
          <w:sz w:val="20"/>
        </w:rPr>
        <w:t xml:space="preserve"> </w:t>
      </w:r>
      <w:r>
        <w:rPr>
          <w:rFonts w:ascii="Times New Roman" w:hAnsi="Times New Roman"/>
          <w:color w:val="000000"/>
          <w:sz w:val="22"/>
        </w:rPr>
        <w:t xml:space="preserve">any Event of Default arising from a failure to observe the covenant contained in </w:t>
      </w:r>
      <w:r>
        <w:rPr>
          <w:rFonts w:ascii="Times New Roman" w:hAnsi="Times New Roman"/>
          <w:color w:val="000000"/>
          <w:sz w:val="22"/>
          <w:u w:val="single"/>
        </w:rPr>
        <w:t>Section 6.03(a)</w:t>
      </w:r>
      <w:r>
        <w:rPr>
          <w:rFonts w:ascii="Times New Roman" w:hAnsi="Times New Roman"/>
          <w:color w:val="000000"/>
          <w:sz w:val="20"/>
        </w:rPr>
        <w:t xml:space="preserve"> </w:t>
      </w:r>
      <w:r>
        <w:rPr>
          <w:rFonts w:ascii="Times New Roman" w:hAnsi="Times New Roman"/>
          <w:color w:val="000000"/>
          <w:sz w:val="22"/>
        </w:rPr>
        <w:t>shall be deemed no longer continuing automatically upon and simultaneously with the underlying Default ceasing to be continuing or (II) Section 6.01 or Section 6.02(a) and such failure continues for ten (10) Business Days after the earlier of (i) receipt by the Borrower of written notice thereof by the Administrative Agent or (ii) a Senior Officer of the Borrower obtaining knowledge thereof;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Other Defaults</w:t>
      </w:r>
      <w:r>
        <w:rPr>
          <w:rFonts w:ascii="Times New Roman" w:hAnsi="Times New Roman"/>
          <w:color w:val="000000"/>
          <w:sz w:val="22"/>
        </w:rPr>
        <w:t xml:space="preserve">. Any Loan Party fails to perform or observe any other covenant or agreement (not specified in </w:t>
      </w:r>
      <w:r>
        <w:rPr>
          <w:rFonts w:ascii="Times New Roman" w:hAnsi="Times New Roman"/>
          <w:color w:val="000000"/>
          <w:sz w:val="22"/>
          <w:u w:val="single"/>
        </w:rPr>
        <w:t>Section 8.01(a)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contained in any Loan Document on its part to be performed or observed and such failure continues for thirty (30) days after the earlier of (i) receipt by the Borrower of written notice thereof by the Administrative Agent or (ii) a Senior Officer of the Borrower obtaining knowledge thereof;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Representations and Warranties</w:t>
      </w:r>
      <w:r>
        <w:rPr>
          <w:rFonts w:ascii="Times New Roman" w:hAnsi="Times New Roman"/>
          <w:color w:val="000000"/>
          <w:sz w:val="22"/>
        </w:rPr>
        <w:t>. Any representation, warranty, certification or statement of fact made or deemed made by or on behalf of any Loan Party herein, in any other Loan Document, or in any document required to be delivered in connection herewith or therewith shall be incorrect or misleading in any material respect when made or deemed made and such incorrect or misleading representation, warranty, certification or statement of fact, if capable of being cured, remains so incorrect or misleading for thirty (30) days after the earlier of (i) receipt by the Borrower of written notice thereof by the Administrative Agent or the Required Lenders or (ii) a Senior Officer of the Borrower obtaining knowledge thereof;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Cross-Default</w:t>
      </w:r>
      <w:r>
        <w:rPr>
          <w:rFonts w:ascii="Times New Roman" w:hAnsi="Times New Roman"/>
          <w:color w:val="000000"/>
          <w:sz w:val="22"/>
        </w:rPr>
        <w:t>. Any Loan Party or any Restricted Subsidiary (A) fails to make any payment beyond the applicable grace period with respect thereto, if any (whether by scheduled maturity, required prepayment, acceleration, demand, or otherwise) in respect of any Indebtedness (other than Indebtedness hereunder) having an aggregate principal amount exceeding the Threshold Amount, or (B) fails to observe or perform any other agreement or condition relating to any such Indebtedness, or any other event occurs (other than (i) with respect to Indebtedness consisting of Swap Contracts, termination events or equivalent events pursuant to the terms of such Swap Contracts and (ii) any event requiring prepayment pursuant to customary asset sale events, insurance and condemnation proceeds events, change of control offers events and excess cash flow</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and indebtedness sweeps), the effect of which default or other event is to cause, or to permit the holder or holders of such Indebtedness (or a trustee or agent on behalf of such holder or holders or beneficiary or beneficiaries) to cause, with the giving of notice if required, all such Indebtedness to become due or to be repurchased, prepaid, defeased or redeemed (automatically or otherwise), or an offer to repurchase, prepay, defease or redeem all such Indebtedness to be made, prior to its stated maturity;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this </w:t>
      </w:r>
      <w:r>
        <w:rPr>
          <w:rFonts w:ascii="Times New Roman" w:hAnsi="Times New Roman"/>
          <w:color w:val="000000"/>
          <w:sz w:val="22"/>
          <w:u w:val="single"/>
        </w:rPr>
        <w:t>clause (e)(B)</w:t>
      </w:r>
      <w:r>
        <w:rPr>
          <w:rFonts w:ascii="Times New Roman" w:hAnsi="Times New Roman"/>
          <w:color w:val="000000"/>
          <w:sz w:val="20"/>
        </w:rPr>
        <w:t xml:space="preserve"> </w:t>
      </w:r>
      <w:r>
        <w:rPr>
          <w:rFonts w:ascii="Times New Roman" w:hAnsi="Times New Roman"/>
          <w:color w:val="000000"/>
          <w:sz w:val="22"/>
        </w:rPr>
        <w:t xml:space="preserve">shall not apply to secured Indebtedness that becomes due (or requires an offer to purchase) as a result of the voluntary sale or transfer of the property or assets securing such Indebtedness, if such sale or transfer is permitted hereunder and under the documents providing for such Indebtedness;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such failure or breach is unremedied and is not waived by the required holders of such Indebtedness;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Insolvency Proceedings, Etc</w:t>
      </w:r>
      <w:r>
        <w:rPr>
          <w:rFonts w:ascii="Times New Roman" w:hAnsi="Times New Roman"/>
          <w:color w:val="000000"/>
          <w:sz w:val="22"/>
        </w:rPr>
        <w:t xml:space="preserve">. Except with respect to any dissolution or liquidation of a Restricted Subsidiary expressly permitted by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in connection with the consummation of a Permitted Tax Restructuring, any Loan Party or any of the Restricted Subsidiaries institutes or consents to the institution of any proceeding under any Debtor Relief Law, or makes an assignment for the benefit of creditors; or applies for or consents to the appointment of any receiver, interim receiver, monitor, receiver and manager, trustee, custodian, conservator, liquidator, rehabilitator, administrator, administrative receiver or similar officer for it or for all or any material part of its property; or any receiver, interim receiver, monitor, receiver and manager, trustee, custodian, conservator, liquidator, rehabilitator, administrator, administrative receiver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Inability to Pay Debts; Attachment</w:t>
      </w:r>
      <w:r>
        <w:rPr>
          <w:rFonts w:ascii="Times New Roman" w:hAnsi="Times New Roman"/>
          <w:color w:val="000000"/>
          <w:sz w:val="22"/>
        </w:rPr>
        <w:t>. (i) Any Loan Party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the Loan Parties, taken as a whole, and is not released, vacated or fully bonded within sixty (60) days after its issue or levy;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Judgments</w:t>
      </w:r>
      <w:r>
        <w:rPr>
          <w:rFonts w:ascii="Times New Roman" w:hAnsi="Times New Roman"/>
          <w:color w:val="000000"/>
          <w:sz w:val="22"/>
        </w:rPr>
        <w:t>. There is entered against any Loan Party or any Restricted Subsidiary a final judgment or order for the payment of money in an aggregate amount exceeding the Threshold Amount (to the extent not covered by independent third-party insurance) and such judgment or order shall not have been satisfied, vacated, discharged or stayed or bonded pending an appeal for a period of sixty (60) consecutive days;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Invalidity of Collateral Documents</w:t>
      </w:r>
      <w:r>
        <w:rPr>
          <w:rFonts w:ascii="Times New Roman" w:hAnsi="Times New Roman"/>
          <w:color w:val="000000"/>
          <w:sz w:val="22"/>
        </w:rPr>
        <w:t xml:space="preserve">. Any material provision of any Collateral Document, at any time after its execution and delivery and for any reason other than as expressly permitted hereunder or thereunder (including as a result of a transaction permitted under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7.05</w:t>
      </w:r>
      <w:r>
        <w:rPr>
          <w:rFonts w:ascii="Times New Roman" w:hAnsi="Times New Roman"/>
          <w:color w:val="000000"/>
          <w:sz w:val="22"/>
        </w:rPr>
        <w:t>) or solely as a result of acts or omissions by the Administrative Agent or any Lender or the satisfaction in full of all the Obligations, ceases to be in full force and effect or ceases to create a valid and perfected lien, with the priority set forth in the Collateral and Guarantee Requirement, on a material portion of the Collateral covered thereby; or any Loan Party contests in writing the validity or enforceability of any material provision of any Collateral Document; or any Loan Party denies in writing that it has any or further liability or obligation under any Collateral Document (other than as a result of repayment in full of the Obligations and termination of the Aggregate Commitments), or purports in writing to revoke or rescind any Collateral Document; or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Invalidity of Guarantees</w:t>
      </w:r>
      <w:r>
        <w:rPr>
          <w:rFonts w:ascii="Times New Roman" w:hAnsi="Times New Roman"/>
          <w:color w:val="000000"/>
          <w:sz w:val="22"/>
        </w:rPr>
        <w:t>. Any Guarantee, after its execution and delivery, provided by any Guarantor that is a Material Subsidiary, or any material provision thereof, ceases to be in full force and effect (other than pursuant to the terms hereof or thereof) or any Loan Party denies or disaffirms in writing any such Guarantor’s material obligations under its Guarantee (other than as a result of repayment in full of the Obligations and terminations of the Commitments); 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Change of Control</w:t>
      </w:r>
      <w:r>
        <w:rPr>
          <w:rFonts w:ascii="Times New Roman" w:hAnsi="Times New Roman"/>
          <w:color w:val="000000"/>
          <w:sz w:val="22"/>
        </w:rPr>
        <w:t>. There occurs any Change of Control; or</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ERISA</w:t>
      </w:r>
      <w:r>
        <w:rPr>
          <w:rFonts w:ascii="Times New Roman" w:hAnsi="Times New Roman"/>
          <w:color w:val="000000"/>
          <w:sz w:val="22"/>
        </w:rPr>
        <w:t>. An ERISA Event occurs that, individually or together with other ERISA Events that have occurred, has resulted or could reasonably be expected to result in liability of the Borrower in an aggregate amount that could reasonably be expected to result in a Material Adverse Effect.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8.02 </w:t>
      </w:r>
      <w:r>
        <w:rPr>
          <w:rFonts w:ascii="Times New Roman" w:hAnsi="Times New Roman"/>
          <w:b w:val="false"/>
          <w:color w:val="000000"/>
          <w:sz w:val="22"/>
          <w:u w:val="single"/>
        </w:rPr>
        <w:t>Remedies Upon Event of Default</w:t>
      </w:r>
      <w:r>
        <w:rPr>
          <w:rFonts w:ascii="Times New Roman" w:hAnsi="Times New Roman"/>
          <w:b w:val="false"/>
          <w:color w:val="000000"/>
          <w:sz w:val="22"/>
        </w:rPr>
        <w:t>. If any Event of Default occurs and is continuing, the Administrative Agent may and, at the request of the Required Lenders, shall take any or all of the following actions: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declare the commitment of each Lender to make Loans and any obligation of the L/C Issuer to make L/C Credit Extensions to be terminated, whereupon such commitments and obligation shall be terminated;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require that the Borrower Cash Collateralize the L/C Obligations (in an amount equal to the then Outstanding Amount thereof);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exercise on behalf of itself and the Lenders all rights and remedies available to it and the Lenders under the Loan Documents or applicable Law;</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upon the occurrence of an Event of Default under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with respect to the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8.03 </w:t>
      </w:r>
      <w:r>
        <w:rPr>
          <w:rFonts w:ascii="Times New Roman" w:hAnsi="Times New Roman"/>
          <w:b w:val="false"/>
          <w:color w:val="000000"/>
          <w:sz w:val="22"/>
          <w:u w:val="single"/>
        </w:rPr>
        <w:t>Exclusion of Immaterial Subsidiaries</w:t>
      </w:r>
      <w:r>
        <w:rPr>
          <w:rFonts w:ascii="Times New Roman" w:hAnsi="Times New Roman"/>
          <w:b w:val="false"/>
          <w:color w:val="000000"/>
          <w:sz w:val="22"/>
        </w:rPr>
        <w:t xml:space="preserve">. Solely for the purpose of determining whether a Default has occurred under </w:t>
      </w:r>
      <w:r>
        <w:rPr>
          <w:rFonts w:ascii="Times New Roman" w:hAnsi="Times New Roman"/>
          <w:b w:val="false"/>
          <w:color w:val="000000"/>
          <w:sz w:val="22"/>
          <w:u w:val="single"/>
        </w:rPr>
        <w:t>clause (f)</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(g)</w:t>
      </w:r>
      <w:r>
        <w:rPr>
          <w:rFonts w:ascii="Times New Roman" w:hAnsi="Times New Roman"/>
          <w:color w:val="000000"/>
          <w:sz w:val="20"/>
        </w:rPr>
        <w:t xml:space="preserve"> </w:t>
      </w:r>
      <w:r>
        <w:rPr>
          <w:rFonts w:ascii="Times New Roman" w:hAnsi="Times New Roman"/>
          <w:b w:val="false"/>
          <w:color w:val="000000"/>
          <w:sz w:val="22"/>
        </w:rPr>
        <w:t xml:space="preserve">of </w:t>
      </w:r>
      <w:r>
        <w:rPr>
          <w:rFonts w:ascii="Times New Roman" w:hAnsi="Times New Roman"/>
          <w:b w:val="false"/>
          <w:color w:val="000000"/>
          <w:sz w:val="22"/>
          <w:u w:val="single"/>
        </w:rPr>
        <w:t>Section 8.01</w:t>
      </w:r>
      <w:r>
        <w:rPr>
          <w:rFonts w:ascii="Times New Roman" w:hAnsi="Times New Roman"/>
          <w:b w:val="false"/>
          <w:color w:val="000000"/>
          <w:sz w:val="22"/>
        </w:rPr>
        <w:t>, any reference in any such clause to any Restricted Subsidiary or Loan Party shall be deemed not to include any Subsidiary that is an Immaterial Subsidiary or at such time could, upon designation by the Borrower, become an Immaterial Subsidiary affected by any event or circumstances referred to in any such clause.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8.04 </w:t>
      </w:r>
      <w:r>
        <w:rPr>
          <w:rFonts w:ascii="Times New Roman" w:hAnsi="Times New Roman"/>
          <w:b w:val="false"/>
          <w:color w:val="000000"/>
          <w:sz w:val="22"/>
          <w:u w:val="single"/>
        </w:rPr>
        <w:t>Application of Funds</w:t>
      </w:r>
      <w:r>
        <w:rPr>
          <w:rFonts w:ascii="Times New Roman" w:hAnsi="Times New Roman"/>
          <w:b w:val="false"/>
          <w:color w:val="000000"/>
          <w:sz w:val="22"/>
        </w:rPr>
        <w:t xml:space="preserve">. If the circumstances described in </w:t>
      </w:r>
      <w:r>
        <w:rPr>
          <w:rFonts w:ascii="Times New Roman" w:hAnsi="Times New Roman"/>
          <w:b w:val="false"/>
          <w:color w:val="000000"/>
          <w:sz w:val="22"/>
          <w:u w:val="single"/>
        </w:rPr>
        <w:t>Section 2.12(g</w:t>
      </w:r>
      <w:r>
        <w:rPr>
          <w:rFonts w:ascii="Times New Roman" w:hAnsi="Times New Roman"/>
          <w:b w:val="false"/>
          <w:color w:val="000000"/>
          <w:sz w:val="22"/>
        </w:rPr>
        <w:t xml:space="preserve">) have occurred, or after the exercise of remedies provided for in </w:t>
      </w:r>
      <w:r>
        <w:rPr>
          <w:rFonts w:ascii="Times New Roman" w:hAnsi="Times New Roman"/>
          <w:b w:val="false"/>
          <w:color w:val="000000"/>
          <w:sz w:val="22"/>
          <w:u w:val="single"/>
        </w:rPr>
        <w:t>Section 8.02</w:t>
      </w:r>
      <w:r>
        <w:rPr>
          <w:rFonts w:ascii="Times New Roman" w:hAnsi="Times New Roman"/>
          <w:color w:val="000000"/>
          <w:sz w:val="20"/>
        </w:rPr>
        <w:t xml:space="preserve"> </w:t>
      </w:r>
      <w:r>
        <w:rPr>
          <w:rFonts w:ascii="Times New Roman" w:hAnsi="Times New Roman"/>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 w:hAnsi="Times New Roman"/>
          <w:b w:val="false"/>
          <w:color w:val="000000"/>
          <w:sz w:val="22"/>
          <w:u w:val="single"/>
        </w:rPr>
        <w:t>Section 8.02</w:t>
      </w:r>
      <w:r>
        <w:rPr>
          <w:rFonts w:ascii="Times New Roman" w:hAnsi="Times New Roman"/>
          <w:b w:val="false"/>
          <w:color w:val="000000"/>
          <w:sz w:val="22"/>
        </w:rPr>
        <w:t>), including in any bankruptcy or insolvency proceeding, any amounts received on account of the Obligations shall be applied by the Administrative Agent, subject to any Acceptable Intercreditor Agreement, in the following order: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First</w:t>
      </w:r>
      <w:r>
        <w:rPr>
          <w:rFonts w:ascii="Times New Roman" w:hAnsi="Times New Roman"/>
          <w:color w:val="000000"/>
          <w:sz w:val="22"/>
        </w:rPr>
        <w:t xml:space="preserve">, to payment of that portion of the Obligations constituting fees, indemnities, expenses and other amounts (other than principal and interest, but including Attorney Costs payable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and amounts payable under </w:t>
      </w:r>
      <w:r>
        <w:rPr>
          <w:rFonts w:ascii="Times New Roman" w:hAnsi="Times New Roman"/>
          <w:color w:val="000000"/>
          <w:sz w:val="22"/>
          <w:u w:val="single"/>
        </w:rPr>
        <w:t>Article III</w:t>
      </w:r>
      <w:r>
        <w:rPr>
          <w:rFonts w:ascii="Times New Roman" w:hAnsi="Times New Roman"/>
          <w:color w:val="000000"/>
          <w:sz w:val="22"/>
        </w:rPr>
        <w:t>) payable to each Agent in its capacity as such;</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Second</w:t>
      </w:r>
      <w:r>
        <w:rPr>
          <w:rFonts w:ascii="Times New Roman" w:hAnsi="Times New Roman"/>
          <w:color w:val="000000"/>
          <w:sz w:val="22"/>
        </w:rPr>
        <w:t xml:space="preserve">, to payment of that portion of the Obligations constituting fees, indemnities and other amounts (other than principal and interest) payable to the Lenders (including Attorney Costs payable under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and amounts payable under </w:t>
      </w:r>
      <w:r>
        <w:rPr>
          <w:rFonts w:ascii="Times New Roman" w:hAnsi="Times New Roman"/>
          <w:color w:val="000000"/>
          <w:sz w:val="22"/>
          <w:u w:val="single"/>
        </w:rPr>
        <w:t>Article III</w:t>
      </w:r>
      <w:r>
        <w:rPr>
          <w:rFonts w:ascii="Times New Roman" w:hAnsi="Times New Roman"/>
          <w:color w:val="000000"/>
          <w:sz w:val="22"/>
        </w:rPr>
        <w:t xml:space="preserve">), ratably among them in proportion to the amounts described in this </w:t>
      </w:r>
      <w:r>
        <w:rPr>
          <w:rFonts w:ascii="Times New Roman" w:hAnsi="Times New Roman"/>
          <w:color w:val="000000"/>
          <w:sz w:val="22"/>
          <w:u w:val="single"/>
        </w:rPr>
        <w:t>clause Second</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Third</w:t>
      </w:r>
      <w:r>
        <w:rPr>
          <w:rFonts w:ascii="Times New Roman" w:hAnsi="Times New Roman"/>
          <w:color w:val="000000"/>
          <w:sz w:val="22"/>
        </w:rPr>
        <w:t xml:space="preserve">, to payment of that portion of the Obligations constituting accrued and unpaid interest (including, but not limited to, post-petition interest), ratably among the Lenders in proportion to the respective amounts described in this </w:t>
      </w:r>
      <w:r>
        <w:rPr>
          <w:rFonts w:ascii="Times New Roman" w:hAnsi="Times New Roman"/>
          <w:color w:val="000000"/>
          <w:sz w:val="22"/>
          <w:u w:val="single"/>
        </w:rPr>
        <w:t>clause Third</w:t>
      </w:r>
      <w:r>
        <w:rPr>
          <w:rFonts w:ascii="Times New Roman" w:hAnsi="Times New Roman"/>
          <w:color w:val="000000"/>
          <w:sz w:val="20"/>
        </w:rPr>
        <w:t xml:space="preserve"> </w:t>
      </w:r>
      <w:r>
        <w:rPr>
          <w:rFonts w:ascii="Times New Roman" w:hAnsi="Times New Roman"/>
          <w:color w:val="000000"/>
          <w:sz w:val="22"/>
        </w:rPr>
        <w:t>payable to them;</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Fourth</w:t>
      </w:r>
      <w:r>
        <w:rPr>
          <w:rFonts w:ascii="Times New Roman" w:hAnsi="Times New Roman"/>
          <w:color w:val="000000"/>
          <w:sz w:val="22"/>
        </w:rPr>
        <w:t xml:space="preserve">, to payment of that portion of the Obligations constituting (x) unpaid principal of the Loans, (y) Unreimbursed Amounts and face amounts of the L/C Borrowings, and (z) Swap Termination Value under Secured Hedge Agreements and Cash Management Obligations (other than (i) the “Obligations” in respect of obligations under any Secured Hedge Agreement with a Hedge Bank listed under clause (ii) of the definition of “Hedge Bank” and (ii) the “Obligations” in respect of Cash Management Obligations with a Cash Management Bank listed under clause (ii) of the definition of “Cash Management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amounts distributed pursuant to this clause (z) shall not exceed $10,000,000 in the aggregate, ratably among the Secured Parties in proportion to the respective amounts described in this </w:t>
      </w:r>
      <w:r>
        <w:rPr>
          <w:rFonts w:ascii="Times New Roman" w:hAnsi="Times New Roman"/>
          <w:color w:val="000000"/>
          <w:sz w:val="22"/>
          <w:u w:val="single"/>
        </w:rPr>
        <w:t>clause Fourth</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Fifth</w:t>
      </w:r>
      <w:r>
        <w:rPr>
          <w:rFonts w:ascii="Times New Roman" w:hAnsi="Times New Roman"/>
          <w:color w:val="000000"/>
          <w:sz w:val="22"/>
        </w:rPr>
        <w:t>, to the Administrative Agent for the account of the L/C Issuers, to Cash Collateralize that portion of L/C Obligations comprised of the aggregate undrawn amount of Letters of Credit;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Sixth</w:t>
      </w:r>
      <w:r>
        <w:rPr>
          <w:rFonts w:ascii="Times New Roman" w:hAnsi="Times New Roman"/>
          <w:color w:val="000000"/>
          <w:sz w:val="22"/>
        </w:rPr>
        <w:t>,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Seventh</w:t>
      </w:r>
      <w:r>
        <w:rPr>
          <w:rFonts w:ascii="Times New Roman" w:hAnsi="Times New Roman"/>
          <w:color w:val="000000"/>
          <w:sz w:val="22"/>
        </w:rPr>
        <w:t>; the balance, if any, after all of the Obligations have been paid in full, to (i) the “Obligations” in respect of obligations under any Secured Hedge Agreement with a Hedge Bank listed under clause (ii) of the definition of “Hedge Bank” and (ii) the “Obligations” in respect of Cash Management Obligations with a Cash Management Bank listed under clause (ii) of the definition of “Cash Management Bank”;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u w:val="single"/>
        </w:rPr>
        <w:t>Last</w:t>
      </w:r>
      <w:r>
        <w:rPr>
          <w:rFonts w:ascii="Times New Roman" w:hAnsi="Times New Roman"/>
          <w:color w:val="000000"/>
          <w:sz w:val="22"/>
        </w:rPr>
        <w:t>, the balance, if any, after all of the Obligations have been paid in full, to the Borrower or as otherwise required by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2.03(c)</w:t>
      </w:r>
      <w:r>
        <w:rPr>
          <w:rFonts w:ascii="Times New Roman" w:hAnsi="Times New Roman"/>
          <w:color w:val="000000"/>
          <w:sz w:val="22"/>
        </w:rPr>
        <w:t>,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and, if no Obligations remain outstanding, to the Borrower.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8.05 </w:t>
      </w:r>
      <w:r>
        <w:rPr>
          <w:rFonts w:ascii="Times New Roman" w:hAnsi="Times New Roman"/>
          <w:b w:val="false"/>
          <w:color w:val="000000"/>
          <w:sz w:val="22"/>
          <w:u w:val="single"/>
        </w:rPr>
        <w:t>Cure Right</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Notwithstanding anything to the contrary contained in </w:t>
      </w:r>
      <w:r>
        <w:rPr>
          <w:rFonts w:ascii="Times New Roman" w:hAnsi="Times New Roman"/>
          <w:color w:val="000000"/>
          <w:sz w:val="22"/>
          <w:u w:val="single"/>
        </w:rPr>
        <w:t>Section 8.01(b)</w:t>
      </w:r>
      <w:r>
        <w:rPr>
          <w:rFonts w:ascii="Times New Roman" w:hAnsi="Times New Roman"/>
          <w:color w:val="000000"/>
          <w:sz w:val="22"/>
        </w:rPr>
        <w:t xml:space="preserve">, in the event that the Borrower fails to comply with the requirement of the Total Net Leverage Ratio Financial Covenant set forth in </w:t>
      </w:r>
      <w:r>
        <w:rPr>
          <w:rFonts w:ascii="Times New Roman" w:hAnsi="Times New Roman"/>
          <w:color w:val="000000"/>
          <w:sz w:val="22"/>
          <w:u w:val="single"/>
        </w:rPr>
        <w:t>Section 7.11(a)</w:t>
      </w:r>
      <w:r>
        <w:rPr>
          <w:rFonts w:ascii="Times New Roman" w:hAnsi="Times New Roman"/>
          <w:color w:val="000000"/>
          <w:sz w:val="20"/>
        </w:rPr>
        <w:t xml:space="preserve"> </w:t>
      </w:r>
      <w:r>
        <w:rPr>
          <w:rFonts w:ascii="Times New Roman" w:hAnsi="Times New Roman"/>
          <w:color w:val="000000"/>
          <w:sz w:val="22"/>
        </w:rPr>
        <w:t>as of the last day of the Test Period, any of the Permitted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Holders or any other investor shall have the right, during the period beginning on the date on which the financial statements are required to be delivered pursuant to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with respect to the fiscal quarter in which the breach of such Total Net Leverage Ratio Financial Covenant occurs (a “</w:t>
      </w:r>
      <w:r>
        <w:rPr>
          <w:rFonts w:ascii="Times New Roman" w:hAnsi="Times New Roman"/>
          <w:color w:val="000000"/>
          <w:sz w:val="22"/>
          <w:u w:val="single"/>
        </w:rPr>
        <w:t>Specified Fiscal Quarter</w:t>
      </w:r>
      <w:r>
        <w:rPr>
          <w:rFonts w:ascii="Times New Roman" w:hAnsi="Times New Roman"/>
          <w:color w:val="000000"/>
          <w:sz w:val="20"/>
        </w:rPr>
        <w:t>”</w:t>
      </w:r>
      <w:r>
        <w:rPr>
          <w:rFonts w:ascii="Times New Roman" w:hAnsi="Times New Roman"/>
          <w:color w:val="000000"/>
          <w:sz w:val="22"/>
        </w:rPr>
        <w:t>), until the expiration of the fifteenth (15th) Business Day following such due date for such financial statements (the “</w:t>
      </w:r>
      <w:r>
        <w:rPr>
          <w:rFonts w:ascii="Times New Roman" w:hAnsi="Times New Roman"/>
          <w:color w:val="000000"/>
          <w:sz w:val="22"/>
          <w:u w:val="single"/>
        </w:rPr>
        <w:t>Cure Period</w:t>
      </w:r>
      <w:r>
        <w:rPr>
          <w:rFonts w:ascii="Times New Roman" w:hAnsi="Times New Roman"/>
          <w:color w:val="000000"/>
          <w:sz w:val="20"/>
        </w:rPr>
        <w:t>”</w:t>
      </w:r>
      <w:r>
        <w:rPr>
          <w:rFonts w:ascii="Times New Roman" w:hAnsi="Times New Roman"/>
          <w:color w:val="000000"/>
          <w:sz w:val="22"/>
        </w:rPr>
        <w:t xml:space="preserve">) after the date on which financial statements with respect to the Specified Fiscal Quarter are required to be delivered pursuant to </w:t>
      </w:r>
      <w:r>
        <w:rPr>
          <w:rFonts w:ascii="Times New Roman" w:hAnsi="Times New Roman"/>
          <w:color w:val="000000"/>
          <w:sz w:val="22"/>
          <w:u w:val="single"/>
        </w:rPr>
        <w:t>Section 6.01</w:t>
      </w:r>
      <w:r>
        <w:rPr>
          <w:rFonts w:ascii="Times New Roman" w:hAnsi="Times New Roman"/>
          <w:color w:val="000000"/>
          <w:sz w:val="22"/>
        </w:rPr>
        <w:t>, to make a direct or indirect equity investment in the Borrower in cash in the form of common Equity Interests (or other Qualified Equity Interests reasonably acceptable to the Administrative Agent) (the “</w:t>
      </w:r>
      <w:r>
        <w:rPr>
          <w:rFonts w:ascii="Times New Roman" w:hAnsi="Times New Roman"/>
          <w:color w:val="000000"/>
          <w:sz w:val="22"/>
          <w:u w:val="single"/>
        </w:rPr>
        <w:t>Cure Right</w:t>
      </w:r>
      <w:r>
        <w:rPr>
          <w:rFonts w:ascii="Times New Roman" w:hAnsi="Times New Roman"/>
          <w:color w:val="000000"/>
          <w:sz w:val="20"/>
        </w:rPr>
        <w:t>”</w:t>
      </w:r>
      <w:r>
        <w:rPr>
          <w:rFonts w:ascii="Times New Roman" w:hAnsi="Times New Roman"/>
          <w:color w:val="000000"/>
          <w:sz w:val="22"/>
        </w:rPr>
        <w:t>), and upon the receipt by the Borrower of net cash proceeds pursuant to the exercise of the Cure Right (the “</w:t>
      </w:r>
      <w:r>
        <w:rPr>
          <w:rFonts w:ascii="Times New Roman" w:hAnsi="Times New Roman"/>
          <w:color w:val="000000"/>
          <w:sz w:val="22"/>
          <w:u w:val="single"/>
        </w:rPr>
        <w:t>Cure Amount</w:t>
      </w:r>
      <w:r>
        <w:rPr>
          <w:rFonts w:ascii="Times New Roman" w:hAnsi="Times New Roman"/>
          <w:color w:val="000000"/>
          <w:sz w:val="20"/>
        </w:rPr>
        <w:t>”</w:t>
      </w:r>
      <w:r>
        <w:rPr>
          <w:rFonts w:ascii="Times New Roman" w:hAnsi="Times New Roman"/>
          <w:color w:val="000000"/>
          <w:sz w:val="22"/>
        </w:rPr>
        <w:t xml:space="preserve">), the Total Net Leverage Ratio Financial Covenant shall be recalculated, giving effect to a pro forma increase to Consolidated EBITDA for the Specified Fiscal Quarter in an amount equal to such Cure Amount;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adjustment to Consolidated EBITDA shall be given solely for the purpose of determining the existence of a Default or an Event of Default under the Total Net Leverage Ratio Financial Covenant with respect to such Specified Fiscal Quarter and not for any other purpose under any Loan Document (including for purposes of determining any baskets or other ratios or calculations, pricing, mandatory prepayments and the availability or amount permitted pursuant to any covenant under </w:t>
      </w:r>
      <w:r>
        <w:rPr>
          <w:rFonts w:ascii="Times New Roman" w:hAnsi="Times New Roman"/>
          <w:color w:val="000000"/>
          <w:sz w:val="22"/>
          <w:u w:val="single"/>
        </w:rPr>
        <w:t>Article VII</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If, after the exercise of the Cure Right and the recalculations pursuant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the Borrower shall then be in compliance with the requirements of the Total Net Leverage Ratio Financial Covenant during such Test Period (including for purposes of </w:t>
      </w:r>
      <w:r>
        <w:rPr>
          <w:rFonts w:ascii="Times New Roman" w:hAnsi="Times New Roman"/>
          <w:color w:val="000000"/>
          <w:sz w:val="22"/>
          <w:u w:val="single"/>
        </w:rPr>
        <w:t>Section 4.02</w:t>
      </w:r>
      <w:r>
        <w:rPr>
          <w:rFonts w:ascii="Times New Roman" w:hAnsi="Times New Roman"/>
          <w:color w:val="000000"/>
          <w:sz w:val="22"/>
        </w:rPr>
        <w:t xml:space="preserve">), the Borrower shall be deemed to have satisfied the requirements of the Total Net Leverage Ratio Financial Covenant as of the relevant date of determination with the same effect as though there had been no failure to comply therewith at such date, and the applicable Default or Event of Default under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that had occurred shall be deemed cured and for all purposes under this Agreement and the other Loan Documents shall be treated as not having occurred;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 the Cure Right may be exercised on no more than five (5) occasions during the term of this Agreement, (ii) in each four consecutive fiscal quarter period, there shall be at least two fiscal quarters in respect of which no Cure Right is exercised, (iii) with respect to any exercise of the Cure Right, the Cure Amount shall not be given effect in an amount greater than the amount required to cause the Borrower to be in compliance with the Total Net Leverage Ratio Financial Covenant (such amount, the “</w:t>
      </w:r>
      <w:r>
        <w:rPr>
          <w:rFonts w:ascii="Times New Roman" w:hAnsi="Times New Roman"/>
          <w:color w:val="000000"/>
          <w:sz w:val="22"/>
          <w:u w:val="single"/>
        </w:rPr>
        <w:t>Necessary Cure Amount</w:t>
      </w:r>
      <w:r>
        <w:rPr>
          <w:rFonts w:ascii="Times New Roman" w:hAnsi="Times New Roman"/>
          <w:color w:val="000000"/>
          <w:sz w:val="20"/>
        </w:rPr>
        <w:t>”</w:t>
      </w:r>
      <w:r>
        <w:rPr>
          <w:rFonts w:ascii="Times New Roman" w:hAnsi="Times New Roman"/>
          <w:color w:val="000000"/>
          <w:sz w:val="22"/>
        </w:rPr>
        <w:t>) and (iv) the proceeds from the Cure Right may not reduce the amount of Consolidated Total Debt for purposes of calculating compliance with the Total Net Leverage Ratio Financial Covenant for the fiscal quarter with respect to such Cure Right was made.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Notwithstanding anything herein to the contrary, prior to the expiration of the Cure Period (x) the Lenders shall not be permitted to exercise any rights then available as a result of an Event of Default under </w:t>
      </w:r>
      <w:r>
        <w:rPr>
          <w:rFonts w:ascii="Times New Roman" w:hAnsi="Times New Roman"/>
          <w:color w:val="000000"/>
          <w:sz w:val="22"/>
          <w:u w:val="single"/>
        </w:rPr>
        <w:t>Section 8.01(b)</w:t>
      </w:r>
      <w:r>
        <w:rPr>
          <w:rFonts w:ascii="Times New Roman" w:hAnsi="Times New Roman"/>
          <w:color w:val="000000"/>
          <w:sz w:val="20"/>
        </w:rPr>
        <w:t xml:space="preserve"> </w:t>
      </w:r>
      <w:r>
        <w:rPr>
          <w:rFonts w:ascii="Times New Roman" w:hAnsi="Times New Roman"/>
          <w:color w:val="000000"/>
          <w:sz w:val="22"/>
        </w:rPr>
        <w:t xml:space="preserve">on the basis of a breach of the Total Net Leverage Ratio Financial Covenant so as to enable the Borrower to consummate their Cure Rights as permitted under this </w:t>
      </w:r>
      <w:r>
        <w:rPr>
          <w:rFonts w:ascii="Times New Roman" w:hAnsi="Times New Roman"/>
          <w:color w:val="000000"/>
          <w:sz w:val="22"/>
          <w:u w:val="single"/>
        </w:rPr>
        <w:t>Section 8.05</w:t>
      </w:r>
      <w:r>
        <w:rPr>
          <w:rFonts w:ascii="Times New Roman" w:hAnsi="Times New Roman"/>
          <w:color w:val="000000"/>
          <w:sz w:val="20"/>
        </w:rPr>
        <w:t xml:space="preserve"> </w:t>
      </w:r>
      <w:r>
        <w:rPr>
          <w:rFonts w:ascii="Times New Roman" w:hAnsi="Times New Roman"/>
          <w:color w:val="000000"/>
          <w:sz w:val="22"/>
        </w:rPr>
        <w:t xml:space="preserve">unless the Borrower notifies the Administrative Agent that no Cure Amount will be made with respect to the Specified Fiscal Quarter;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until the Cure Right is exercised pursuant to this Section 8.05, such Event of Default shall be deemed to be continuing for purposes of testing whether the conditions to using any basket that is subject to the absence of Defaults or Events of Default are satisfied and (y) the Revolving Credit Lenders shall not be required to make any Credit Extension unless and until the Borrower has received the Cure Amount required to cause the Borrower to be in compliance with the Total Net Leverage Ratio Financial Covenant.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IX</w:t>
      </w:r>
      <w:r>
        <w:rPr>
          <w:rFonts w:ascii="Times New Roman" w:hAnsi="Times New Roman"/>
          <w:b w:val="false"/>
          <w:color w:val="000000"/>
          <w:sz w:val="22"/>
          <w:u w:val="single"/>
        </w:rPr>
        <w:br/>
        <w:br/>
        <w:t>Administrative Agent and Other Agents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9.01 </w:t>
      </w:r>
      <w:r>
        <w:rPr>
          <w:rFonts w:ascii="Times New Roman" w:hAnsi="Times New Roman"/>
          <w:b w:val="false"/>
          <w:color w:val="000000"/>
          <w:sz w:val="22"/>
          <w:u w:val="single"/>
        </w:rPr>
        <w:t>Appointment and Authorization of Agents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Each Lender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have no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Each L/C Issuer shall act on behalf of the Lenders with respect to any Letters of Credit issued by it and the documents associated therewith, and each such L/C Issuer shall have all of the benefits and immunities (i) provided to the Agents in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and in the definition of “Agent-Related Person” included such L/C Issuer with respect to such acts or omissions, and (ii) as additionally provided herein with respect to such L/C Issuer.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The Administrative Agent shall also act as the “collateral agent” under the Loan Documents, and each of the Lenders (in its capacities as a Lender, Swing Line Lender (if applicable), L/C Issuer (if applicable) and a potential Hedge Bank or Cash Management Bank) hereby irrevocably appoints and authorizes the Administrative Agent to act as the agent of (and to hold any security interest, charge or other Lien created by the Collateral Documents for and on behalf of or on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color w:val="000000"/>
          <w:sz w:val="22"/>
          <w:u w:val="single"/>
        </w:rPr>
        <w:t>Section 9.02</w:t>
      </w:r>
      <w:r>
        <w:rPr>
          <w:rFonts w:ascii="Times New Roman" w:hAnsi="Times New Roman"/>
          <w:color w:val="000000"/>
          <w:sz w:val="20"/>
        </w:rPr>
        <w:t xml:space="preserve"> </w:t>
      </w:r>
      <w:r>
        <w:rPr>
          <w:rFonts w:ascii="Times New Roman" w:hAnsi="Times New Roman"/>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(including </w:t>
      </w:r>
      <w:r>
        <w:rPr>
          <w:rFonts w:ascii="Times New Roman" w:hAnsi="Times New Roman"/>
          <w:color w:val="000000"/>
          <w:sz w:val="22"/>
          <w:u w:val="single"/>
        </w:rPr>
        <w:t>Section 9.07</w:t>
      </w:r>
      <w:r>
        <w:rPr>
          <w:rFonts w:ascii="Times New Roman" w:hAnsi="Times New Roman"/>
          <w:color w:val="000000"/>
          <w:sz w:val="22"/>
        </w:rPr>
        <w:t>, as though such co-agents, sub-agents and attorneys-in-fact were the “collateral agent” under the Loan Documents) as if set forth in full herein with respect thereto. Without limiting the generality of the foregoing, the Lenders hereby expressly authorize the Administrative Agent to execute any and all documents (including releases) with respect to the Collateral and the rights of the Secured Parties with respect thereto, as contemplated by and in accordance with the provisions of the Loan Documents and the Collateral Documents and acknowledge and agree that any such action by any Agent shall bind the Lenders.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9.02 </w:t>
      </w:r>
      <w:r>
        <w:rPr>
          <w:rFonts w:ascii="Times New Roman" w:hAnsi="Times New Roman"/>
          <w:b w:val="false"/>
          <w:color w:val="000000"/>
          <w:sz w:val="22"/>
          <w:u w:val="single"/>
        </w:rPr>
        <w:t>Delegation of Duties</w:t>
      </w:r>
      <w:r>
        <w:rPr>
          <w:rFonts w:ascii="Times New Roman" w:hAnsi="Times New Roman"/>
          <w:b w:val="false"/>
          <w:color w:val="000000"/>
          <w:sz w:val="22"/>
        </w:rPr>
        <w:t>. The Administrative Agent may execute any of its duties under this Agreement or any other Loan Document (including for purposes of holding or enforcing any Lien on the Collateral (or any portion thereof) granted under the Collateral Documents or of exercising any rights and remedies thereunder) by or through Affiliates, agents, employees or attorneys-in-fact, such sub-agents as shall be deemed necessary by the Administrative Agent, and shall be entitled to advice of counsel, both internal and external, and other consultants or experts concerning all matters pertaining to such duties. The Administrative Agent shall not be responsible for the negligence or misconduct of any agent or sub-agent or attorney-in-fact that it selects in the absence of gross negligence or willful misconduct.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9.03 </w:t>
      </w:r>
      <w:r>
        <w:rPr>
          <w:rFonts w:ascii="Times New Roman" w:hAnsi="Times New Roman"/>
          <w:b w:val="false"/>
          <w:color w:val="000000"/>
          <w:sz w:val="22"/>
          <w:u w:val="single"/>
        </w:rPr>
        <w:t>Liability of Agents</w:t>
      </w:r>
      <w:r>
        <w:rPr>
          <w:rFonts w:ascii="Times New Roman" w:hAnsi="Times New Roman"/>
          <w:b w:val="false"/>
          <w:color w:val="000000"/>
          <w:sz w:val="22"/>
        </w:rPr>
        <w:t xml:space="preserve">. No Agent-Related Person shall (a) be liable to any Lender for any action taken or omitted to be taken by any of them under or in connection with this Agreement or any other Loan Document or the transactions contemplated hereby, including their respective activities in connection with the syndication of the credit facilities provided for herein as well as activities as Administrative Agent (except for its own gross negligence or willful misconduct, as determined by the final and non-appealable judgment of a court of competent jurisdiction, in connection with its duties expressly set forth herein),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the value or sufficiency of any Collateral or the satisfaction of any condition set forth in </w:t>
      </w:r>
      <w:r>
        <w:rPr>
          <w:rFonts w:ascii="Times New Roman" w:hAnsi="Times New Roman"/>
          <w:b w:val="false"/>
          <w:color w:val="000000"/>
          <w:sz w:val="22"/>
          <w:u w:val="single"/>
        </w:rPr>
        <w:t>Article IV</w:t>
      </w:r>
      <w:r>
        <w:rPr>
          <w:rFonts w:ascii="Times New Roman" w:hAnsi="Times New Roman"/>
          <w:color w:val="000000"/>
          <w:sz w:val="20"/>
        </w:rPr>
        <w:t xml:space="preserve"> </w:t>
      </w:r>
      <w:r>
        <w:rPr>
          <w:rFonts w:ascii="Times New Roman" w:hAnsi="Times New Roman"/>
          <w:b w:val="false"/>
          <w:color w:val="000000"/>
          <w:sz w:val="22"/>
        </w:rPr>
        <w:t xml:space="preserve">or elsewhere herein, other than to confirm receipt of items expressly required to be delivered to the Administrative Agent, or for any failure of any Loan Party or any other party to any Loan Document to perform its obligations hereunder or thereunder or (c) be responsible or have any liability for, or have any duty to ascertain, inquire into, monitor or enforce, compliance with the provisions hereof relating to Disqualified Lenders;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further</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without limiting the generality of the foregoing clause (c),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No Agent shall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such Agent shall not be required to take any action that, in its judgment or the judgment of its counsel, may expose such Agent to liability or that is contrary to any Loan Document or applicable Law. No Agent shall be liable for any action taken or not taken by it with the consent or at the request of the Required Lenders (or such other number or percentage of the Lenders as shall be expressly provided for herein or in the other Loan Documents), or in the absence of its own gross negligence or willful misconduct, as determined by the final and non-appealable judgment of a court of competent jurisdiction, in connection with its duties expressly set forth herein.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is a Disqualified Lender or (y) have any liability with respect to or arising out of any assignment or participation of Loans, or disclosure of confidential information, to any Disqualified Lender.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9.04 </w:t>
      </w:r>
      <w:r>
        <w:rPr>
          <w:rFonts w:ascii="Times New Roman" w:hAnsi="Times New Roman"/>
          <w:b w:val="false"/>
          <w:color w:val="000000"/>
          <w:sz w:val="22"/>
          <w:u w:val="single"/>
        </w:rPr>
        <w:t>Reliance by Agents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Each Agent shall be entitled to rely, and shall be fully protected in relying, upon any writing, communication, signature, resolution, representation, notice, request, consent, certificate, instrument,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and shall not incur any liability for relying thereon. Each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For purposes of determining compliance with the conditions specified in </w:t>
      </w:r>
      <w:r>
        <w:rPr>
          <w:rFonts w:ascii="Times New Roman" w:hAnsi="Times New Roman"/>
          <w:color w:val="000000"/>
          <w:sz w:val="22"/>
          <w:u w:val="single"/>
        </w:rPr>
        <w:t>Section 4.01</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9.05 </w:t>
      </w:r>
      <w:r>
        <w:rPr>
          <w:rFonts w:ascii="Times New Roman" w:hAnsi="Times New Roman"/>
          <w:b w:val="false"/>
          <w:color w:val="000000"/>
          <w:sz w:val="22"/>
          <w:u w:val="single"/>
        </w:rPr>
        <w:t>Notice of Default</w:t>
      </w:r>
      <w:r>
        <w:rPr>
          <w:rFonts w:ascii="Times New Roman" w:hAnsi="Times New Roman"/>
          <w:b w:val="false"/>
          <w:color w:val="000000"/>
          <w:sz w:val="22"/>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and stating that such notice is a “notice of default.” The Administrative Agent will notify the Lenders of its receipt of any such notice. Subject to the other provisions of this </w:t>
      </w:r>
      <w:r>
        <w:rPr>
          <w:rFonts w:ascii="Times New Roman" w:hAnsi="Times New Roman"/>
          <w:b w:val="false"/>
          <w:color w:val="000000"/>
          <w:sz w:val="22"/>
          <w:u w:val="single"/>
        </w:rPr>
        <w:t>Article IX</w:t>
      </w:r>
      <w:r>
        <w:rPr>
          <w:rFonts w:ascii="Times New Roman" w:hAnsi="Times New Roman"/>
          <w:b w:val="false"/>
          <w:color w:val="000000"/>
          <w:sz w:val="22"/>
        </w:rPr>
        <w:t xml:space="preserve">, the Administrative Agent shall take such action with respect to any Event of Default as may be directed by the Required Lenders in accordance with </w:t>
      </w:r>
      <w:r>
        <w:rPr>
          <w:rFonts w:ascii="Times New Roman" w:hAnsi="Times New Roman"/>
          <w:b w:val="false"/>
          <w:color w:val="000000"/>
          <w:sz w:val="22"/>
          <w:u w:val="single"/>
        </w:rPr>
        <w:t>Article VIII</w:t>
      </w:r>
      <w:r>
        <w:rPr>
          <w:rFonts w:ascii="Times New Roman" w:hAnsi="Times New Roman"/>
          <w:b w:val="false"/>
          <w:color w:val="000000"/>
          <w:sz w:val="22"/>
        </w:rPr>
        <w:t xml:space="preserv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9.06 </w:t>
      </w:r>
      <w:r>
        <w:rPr>
          <w:rFonts w:ascii="Times New Roman" w:hAnsi="Times New Roman"/>
          <w:b w:val="false"/>
          <w:color w:val="000000"/>
          <w:sz w:val="22"/>
          <w:u w:val="single"/>
        </w:rPr>
        <w:t>Credit Decision; Disclosure of Information by Agents</w:t>
      </w:r>
      <w:r>
        <w:rPr>
          <w:rFonts w:ascii="Times New Roman" w:hAnsi="Times New Roman"/>
          <w:b w:val="false"/>
          <w:color w:val="000000"/>
          <w:sz w:val="22"/>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 investigation into the business, prospects, operations, property, financial and other condition and creditworthiness of the Loan Parties and their respective Subsidiaries, and all applicable bank or other regulatory Laws relating to the transactions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9.07 </w:t>
      </w:r>
      <w:r>
        <w:rPr>
          <w:rFonts w:ascii="Times New Roman" w:hAnsi="Times New Roman"/>
          <w:b w:val="false"/>
          <w:color w:val="000000"/>
          <w:sz w:val="22"/>
          <w:u w:val="single"/>
        </w:rPr>
        <w:t>Indemnification of Agents</w:t>
      </w:r>
      <w:r>
        <w:rPr>
          <w:rFonts w:ascii="Times New Roman" w:hAnsi="Times New Roman"/>
          <w:b w:val="false"/>
          <w:color w:val="000000"/>
          <w:sz w:val="22"/>
        </w:rPr>
        <w:t xml:space="preserve">. Whether or not the transactions contemplated hereby are 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in its capacity as an Agent-Related Person;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no Lender shall be liable for the payment to any Agent-Related Person of any portion of such Indemnified Liabilities resulting from such Agent-Related Person’s own gross negligence or willful misconduct, as determined by the final and non-appealable judgment of a court of competent jurisdiction;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hAnsi="Times New Roman"/>
          <w:b w:val="false"/>
          <w:color w:val="000000"/>
          <w:sz w:val="22"/>
          <w:u w:val="single"/>
        </w:rPr>
        <w:t>Section 9.07</w:t>
      </w:r>
      <w:r>
        <w:rPr>
          <w:rFonts w:ascii="Times New Roman" w:hAnsi="Times New Roman"/>
          <w:b w:val="false"/>
          <w:color w:val="000000"/>
          <w:sz w:val="22"/>
        </w:rPr>
        <w:t xml:space="preserve">. In the case of any investigation, litigation or proceeding giving rise to any Indemnified Liabilities, this </w:t>
      </w:r>
      <w:r>
        <w:rPr>
          <w:rFonts w:ascii="Times New Roman" w:hAnsi="Times New Roman"/>
          <w:b w:val="false"/>
          <w:color w:val="000000"/>
          <w:sz w:val="22"/>
          <w:u w:val="single"/>
        </w:rPr>
        <w:t>Section 9.07</w:t>
      </w:r>
      <w:r>
        <w:rPr>
          <w:rFonts w:ascii="Times New Roman" w:hAnsi="Times New Roman"/>
          <w:color w:val="000000"/>
          <w:sz w:val="20"/>
        </w:rPr>
        <w:t xml:space="preserve"> </w:t>
      </w:r>
      <w:r>
        <w:rPr>
          <w:rFonts w:ascii="Times New Roman" w:hAnsi="Times New Roman"/>
          <w:b w:val="false"/>
          <w:color w:val="000000"/>
          <w:sz w:val="22"/>
        </w:rPr>
        <w:t xml:space="preserve">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such reimbursement by the Lenders shall not affect the Borrower’s continuing reimbursement obligations with respect thereto, if any. The undertaking in this </w:t>
      </w:r>
      <w:r>
        <w:rPr>
          <w:rFonts w:ascii="Times New Roman" w:hAnsi="Times New Roman"/>
          <w:b w:val="false"/>
          <w:color w:val="000000"/>
          <w:sz w:val="22"/>
          <w:u w:val="single"/>
        </w:rPr>
        <w:t>Section 9.07</w:t>
      </w:r>
      <w:r>
        <w:rPr>
          <w:rFonts w:ascii="Times New Roman" w:hAnsi="Times New Roman"/>
          <w:color w:val="000000"/>
          <w:sz w:val="20"/>
        </w:rPr>
        <w:t xml:space="preserve"> </w:t>
      </w:r>
      <w:r>
        <w:rPr>
          <w:rFonts w:ascii="Times New Roman" w:hAnsi="Times New Roman"/>
          <w:b w:val="false"/>
          <w:color w:val="000000"/>
          <w:sz w:val="22"/>
        </w:rPr>
        <w:t>shall survive termination of the Aggregate Commitments, the payment of all other Obligations and the resignation of the Administrative Agent.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9.08 </w:t>
      </w:r>
      <w:r>
        <w:rPr>
          <w:rFonts w:ascii="Times New Roman" w:hAnsi="Times New Roman"/>
          <w:b w:val="false"/>
          <w:color w:val="000000"/>
          <w:sz w:val="22"/>
          <w:u w:val="single"/>
        </w:rPr>
        <w:t>Agents in their Individual Capacities</w:t>
      </w:r>
      <w:r>
        <w:rPr>
          <w:rFonts w:ascii="Times New Roman" w:hAnsi="Times New Roman"/>
          <w:b w:val="false"/>
          <w:color w:val="000000"/>
          <w:sz w:val="22"/>
        </w:rPr>
        <w:t>. Wells Fargo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Wells Fargo were not the Administrative Agent hereunder and without notice to or consent of the Lenders. The Lenders acknowledge that, pursuant to such activities, Wells Fargo or its Affiliates may receive information regarding any Loan Party or any Affiliate of a Loan Party (including information that may be subject to confidentiality obligations in favor of such Loan Party or such Affiliate) and acknowledge that the Administrative Agent shall be under no obligation to provide such information to them. With respect to its Loans, Wells Fargo shall have the same rights and powers under this Agreement as any other Lender and may exercise such rights and powers as though it were not the Administrative Agent, and the terms “Lender” and “Lenders” include Wells Fargo in its individual capacity.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9.09 </w:t>
      </w:r>
      <w:r>
        <w:rPr>
          <w:rFonts w:ascii="Times New Roman" w:hAnsi="Times New Roman"/>
          <w:b w:val="false"/>
          <w:color w:val="000000"/>
          <w:sz w:val="22"/>
          <w:u w:val="single"/>
        </w:rPr>
        <w:t>Successor Agents</w:t>
      </w:r>
      <w:r>
        <w:rPr>
          <w:rFonts w:ascii="Times New Roman" w:hAnsi="Times New Roman"/>
          <w:b w:val="false"/>
          <w:color w:val="000000"/>
          <w:sz w:val="22"/>
        </w:rPr>
        <w:t xml:space="preserve">. The Administrative Agent may resign as the Administrative Agent and Collateral Agent upon thirty (30) days’ notice to the Lenders and the Borrower. If the Administrative Agent resigns under this Agreement, the Required Lenders shall appoint from among the Lenders a successor agent for the Lenders, which appointment of a successor agent shall require the consent of the Borrower at all times other than during the existence of an Event of Default under </w:t>
      </w:r>
      <w:r>
        <w:rPr>
          <w:rFonts w:ascii="Times New Roman" w:hAnsi="Times New Roman"/>
          <w:b w:val="false"/>
          <w:color w:val="000000"/>
          <w:sz w:val="22"/>
          <w:u w:val="single"/>
        </w:rPr>
        <w:t>Section 8.01(a)</w:t>
      </w:r>
      <w:r>
        <w:rPr>
          <w:rFonts w:ascii="Times New Roman" w:hAnsi="Times New Roman"/>
          <w:b w:val="false"/>
          <w:color w:val="000000"/>
          <w:sz w:val="22"/>
        </w:rPr>
        <w:t xml:space="preserve">, </w:t>
      </w:r>
      <w:r>
        <w:rPr>
          <w:rFonts w:ascii="Times New Roman" w:hAnsi="Times New Roman"/>
          <w:b w:val="false"/>
          <w:color w:val="000000"/>
          <w:sz w:val="22"/>
          <w:u w:val="single"/>
        </w:rPr>
        <w:t>(f)</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(g)</w:t>
      </w:r>
      <w:r>
        <w:rPr>
          <w:rFonts w:ascii="Times New Roman" w:hAnsi="Times New Roman"/>
          <w:color w:val="000000"/>
          <w:sz w:val="20"/>
        </w:rPr>
        <w:t xml:space="preserve"> </w:t>
      </w:r>
      <w:r>
        <w:rPr>
          <w:rFonts w:ascii="Times New Roman" w:hAnsi="Times New Roman"/>
          <w:b w:val="false"/>
          <w:color w:val="000000"/>
          <w:sz w:val="22"/>
        </w:rPr>
        <w:t xml:space="preserve">(which consent of the Borrower shall not be unreasonably withheld or delayed). If no successor agent is appointed prior to the effective date of the resignation of the Administrative Agent, the Administrative Agent may appoint, after consulting with the Lenders and the Borrower, a successor agent from among the Lenders. Upon the acceptance of its appointment as successor agent hereunder, the Person acting as such successor agent shall succeed to all the rights, powers and duties of the retiring Administrative Agent and Collateral Agent and the term “Administrative Agent” shall mean such successor administrative agent and/or supplemental administrative agent, as the case may be (and the term “Collateral Agent” shall mean such successor collateral agent, as described in this </w:t>
      </w:r>
      <w:r>
        <w:rPr>
          <w:rFonts w:ascii="Times New Roman" w:hAnsi="Times New Roman"/>
          <w:b w:val="false"/>
          <w:color w:val="000000"/>
          <w:sz w:val="22"/>
          <w:u w:val="single"/>
        </w:rPr>
        <w:t>Section 9.09</w:t>
      </w:r>
      <w:r>
        <w:rPr>
          <w:rFonts w:ascii="Times New Roman" w:hAnsi="Times New Roman"/>
          <w:color w:val="000000"/>
          <w:sz w:val="20"/>
        </w:rPr>
        <w:t xml:space="preserve"> </w:t>
      </w:r>
      <w:r>
        <w:rPr>
          <w:rFonts w:ascii="Times New Roman" w:hAnsi="Times New Roman"/>
          <w:b w:val="false"/>
          <w:color w:val="000000"/>
          <w:sz w:val="22"/>
        </w:rPr>
        <w:t xml:space="preserve">and/or supplemental agent, as described in </w:t>
      </w:r>
      <w:r>
        <w:rPr>
          <w:rFonts w:ascii="Times New Roman" w:hAnsi="Times New Roman"/>
          <w:b w:val="false"/>
          <w:color w:val="000000"/>
          <w:sz w:val="22"/>
          <w:u w:val="single"/>
        </w:rPr>
        <w:t>Section 9.02</w:t>
      </w:r>
      <w:r>
        <w:rPr>
          <w:rFonts w:ascii="Times New Roman" w:hAnsi="Times New Roman"/>
          <w:b w:val="false"/>
          <w:color w:val="000000"/>
          <w:sz w:val="22"/>
        </w:rPr>
        <w:t xml:space="preserve">), and the retiring Administrative Agent’s appointment, powers and duties as the Administrative Agent and Collateral Agent shall be terminated. After the retiring Administrative Agent’s resignation hereunder as the Administrative Agent and Collateral Agent, the provisions of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10.04</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Section 10.05</w:t>
      </w:r>
      <w:r>
        <w:rPr>
          <w:rFonts w:ascii="Times New Roman" w:hAnsi="Times New Roman"/>
          <w:color w:val="000000"/>
          <w:sz w:val="20"/>
        </w:rPr>
        <w:t xml:space="preserve"> </w:t>
      </w:r>
      <w:r>
        <w:rPr>
          <w:rFonts w:ascii="Times New Roman" w:hAnsi="Times New Roman"/>
          <w:b w:val="false"/>
          <w:color w:val="000000"/>
          <w:sz w:val="22"/>
        </w:rPr>
        <w:t>shall inure to its benefit as to any actions taken or omitted to be taken by it while it was the Administrative Agent and Collateral Agent under this Agreement. If no successor agent has accepted appointment as the Administrative Agent and Collateral Agent by the date which is thirty (30) days following the retiring Administrative Agent’s notice of resignation, the retiring Administrative Agent’s resignation shall nevertheless thereupon become effective and the Lenders shall perform all of the duties of the Administrative Agent and Collateral Agent hereunder until such time, if any, as the Required Lenders appoint a successor agent as provided for above (except that in the case of any collateral security held by the Collateral Agent on behalf of the Lenders under any of the Loan Documents, the retiring Collateral Agent shall continue to hold such collateral security until such time as a successor Collateral Agent is appointed). Upon the acceptance of any appointment as the Administrative Agent and Collateral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reasonably request, in order to (a) continue the perfection of the Liens granted or purported to be granted by the Collateral Documents or (b) otherwise ensure that the Collateral and Guarantee Requirement is satisfied, the Administrative Agent shall thereupon succeed to and become vested with all the rights, powers, discretion, privileges, and duties of the retiring Administrative Agent and Collateral Agent, and the retiring Administrative Agent and Collateral Agent shall, to the extent not previously discharged, be discharged from its duties and obligations under the Loan Documents.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9.10 </w:t>
      </w:r>
      <w:r>
        <w:rPr>
          <w:rFonts w:ascii="Times New Roman" w:hAnsi="Times New Roman"/>
          <w:b w:val="false"/>
          <w:color w:val="000000"/>
          <w:sz w:val="22"/>
          <w:u w:val="single"/>
        </w:rPr>
        <w:t>Administrative Agent May File Proofs of Claim</w:t>
      </w:r>
      <w:r>
        <w:rPr>
          <w:rFonts w:ascii="Times New Roman" w:hAnsi="Times New Roman"/>
          <w:b w:val="false"/>
          <w:color w:val="000000"/>
          <w:sz w:val="22"/>
        </w:rPr>
        <w:t>. In case of the pendency of any receivership, insolvency, liquidation, bankruptcy, reorganization, arrangement, adjustment, composition or other judicial proceeding relative to any Loan Party, the Administrative Agent (irrespective of whether the principal of any Loan or any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Administrative Agent under </w:t>
      </w:r>
      <w:r>
        <w:rPr>
          <w:rFonts w:ascii="Times New Roman" w:hAnsi="Times New Roman"/>
          <w:color w:val="000000"/>
          <w:sz w:val="22"/>
          <w:u w:val="single"/>
        </w:rPr>
        <w:t>Section 2.04(e),</w:t>
      </w:r>
      <w:r>
        <w:rPr>
          <w:rFonts w:ascii="Times New Roman" w:hAnsi="Times New Roman"/>
          <w:color w:val="000000"/>
          <w:sz w:val="20"/>
        </w:rPr>
        <w:t xml:space="preserve"> </w:t>
      </w: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10.04</w:t>
      </w:r>
      <w:r>
        <w:rPr>
          <w:rFonts w:ascii="Times New Roman" w:hAnsi="Times New Roman"/>
          <w:color w:val="000000"/>
          <w:sz w:val="22"/>
        </w:rPr>
        <w:t>) allowed in such judicial proceeding;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to collect and receive any monies or other property payable or deliverable on any such claims and to distribute the same; and</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to the Administrative Agent under </w:t>
      </w:r>
      <w:r>
        <w:rPr>
          <w:rFonts w:ascii="Times New Roman" w:hAnsi="Times New Roman"/>
          <w:color w:val="000000"/>
          <w:sz w:val="22"/>
          <w:u w:val="single"/>
        </w:rPr>
        <w:t>Section 2.09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10.04</w:t>
      </w:r>
      <w:r>
        <w:rPr>
          <w:rFonts w:ascii="Times New Roman" w:hAnsi="Times New Roman"/>
          <w:color w:val="000000"/>
          <w:sz w:val="22"/>
        </w:rPr>
        <w: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w:t>
      </w:r>
      <w:r>
        <w:rPr>
          <w:rFonts w:ascii="Times New Roman" w:hAnsi="Times New Roman"/>
          <w:color w:val="000000"/>
          <w:sz w:val="20"/>
        </w:rPr>
        <w:t xml:space="preserve"> </w:t>
      </w:r>
      <w:r>
        <w:rPr>
          <w:rFonts w:ascii="Times New Roman" w:hAnsi="Times New Roman"/>
          <w:color w:val="000000"/>
          <w:sz w:val="22"/>
        </w:rPr>
        <w:t>(b)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w:t>
      </w:r>
      <w:r>
        <w:rPr>
          <w:rFonts w:ascii="Times New Roman" w:hAnsi="Times New Roman"/>
          <w:color w:val="000000"/>
          <w:sz w:val="20"/>
        </w:rPr>
        <w:t xml:space="preserve"> </w:t>
      </w:r>
      <w:r>
        <w:rPr>
          <w:rFonts w:ascii="Times New Roman" w:hAnsi="Times New Roman"/>
          <w:color w:val="000000"/>
          <w:sz w:val="22"/>
        </w:rPr>
        <w:t xml:space="preserve">contained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10.01</w:t>
      </w:r>
      <w:r>
        <w:rPr>
          <w:rFonts w:ascii="Times New Roman" w:hAnsi="Times New Roman"/>
          <w:color w:val="000000"/>
          <w:sz w:val="22"/>
        </w:rPr>
        <w:t xml:space="preserve">),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9.11 </w:t>
      </w:r>
      <w:r>
        <w:rPr>
          <w:rFonts w:ascii="Times New Roman" w:hAnsi="Times New Roman"/>
          <w:b w:val="false"/>
          <w:color w:val="000000"/>
          <w:sz w:val="22"/>
          <w:u w:val="single"/>
        </w:rPr>
        <w:t>Collateral and Guaranty Matters</w:t>
      </w:r>
      <w:r>
        <w:rPr>
          <w:rFonts w:ascii="Times New Roman" w:hAnsi="Times New Roman"/>
          <w:b w:val="false"/>
          <w:color w:val="000000"/>
          <w:sz w:val="22"/>
        </w:rPr>
        <w:t>. The Lenders irrevocably agree: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that any Lien on any property granted to or held by the Administrative Agent or the Collateral Agent under any Loan Document shall be automatically released (i) upon termination of the Aggregate Commitments and payment in full of all Obligations (other than (x) Obligations in respect of any Secured Hedge Agreements not yet due and payable, (y) Cash Management Obligations not yet due and payable and (z) contingent indemnification obligations and other contingent obligations not yet accrued and payable) and the expiration or termination of all Letters of Credit (other than Letters of Credit that have been Cash Collateralized or back-stopped to the reasonable satisfaction of the applicable L/C Issuer), (ii) at the time the property subject to such Lien is transferred as part of or in connection with any transfer permitted hereunder or under any other Loan Document to any Person other than any other Loan Party, (iii) subject to </w:t>
      </w:r>
      <w:r>
        <w:rPr>
          <w:rFonts w:ascii="Times New Roman" w:hAnsi="Times New Roman"/>
          <w:color w:val="000000"/>
          <w:sz w:val="22"/>
          <w:u w:val="single"/>
        </w:rPr>
        <w:t>Section 10.01</w:t>
      </w:r>
      <w:r>
        <w:rPr>
          <w:rFonts w:ascii="Times New Roman" w:hAnsi="Times New Roman"/>
          <w:color w:val="000000"/>
          <w:sz w:val="22"/>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below or (v) if the property subject to such Lien becomes Excluded Property;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the Administrative Agent is authorized to release (other than in the case of property subject to a Lien that is permitted by </w:t>
      </w:r>
      <w:r>
        <w:rPr>
          <w:rFonts w:ascii="Times New Roman" w:hAnsi="Times New Roman"/>
          <w:color w:val="000000"/>
          <w:sz w:val="22"/>
          <w:u w:val="single"/>
        </w:rPr>
        <w:t>Section 7.01(o)</w:t>
      </w:r>
      <w:r>
        <w:rPr>
          <w:rFonts w:ascii="Times New Roman" w:hAnsi="Times New Roman"/>
          <w:color w:val="000000"/>
          <w:sz w:val="22"/>
        </w:rPr>
        <w:t xml:space="preserve">) or subordinate any Lien on any property granted to or held by the Administrative Agent or the Collateral Agent under any Loan Document to the holder of any Lien on such property that is permitted by </w:t>
      </w:r>
      <w:r>
        <w:rPr>
          <w:rFonts w:ascii="Times New Roman" w:hAnsi="Times New Roman"/>
          <w:color w:val="000000"/>
          <w:sz w:val="22"/>
          <w:u w:val="single"/>
        </w:rPr>
        <w:t>Sections 7.01(i)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(o)</w:t>
      </w:r>
      <w:r>
        <w:rPr>
          <w:rFonts w:ascii="Times New Roman" w:hAnsi="Times New Roman"/>
          <w:color w:val="000000"/>
          <w:sz w:val="22"/>
        </w:rPr>
        <w:t>;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if any Guarantor ceases to be a Restricted Subsidiary, or becomes an Excluded Subsidiary, in each case as a result of a transaction or designation permitted hereunder (as certified in writing delivered to the Administrative Agent by a Responsible Officer of the Borrower), (x) such Subsidiary shall be automatically released from its obligations under the Guaranty and (y) any Liens granted by such Subsidiary or Liens on the Equity Interests of such Subsidiary (to the extent such Equity Interests have become Excluded Property or are being transferred to a Person that is not a Loan Party) shall be automatically released;</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color w:val="000000"/>
          <w:sz w:val="22"/>
          <w:u w:val="single"/>
        </w:rPr>
        <w:t>Section 9.11</w:t>
      </w:r>
      <w:r>
        <w:rPr>
          <w:rFonts w:ascii="Times New Roman" w:hAnsi="Times New Roman"/>
          <w:color w:val="000000"/>
          <w:sz w:val="22"/>
        </w:rPr>
        <w:t xml:space="preserve">. In each case as specified in this </w:t>
      </w:r>
      <w:r>
        <w:rPr>
          <w:rFonts w:ascii="Times New Roman" w:hAnsi="Times New Roman"/>
          <w:color w:val="000000"/>
          <w:sz w:val="22"/>
          <w:u w:val="single"/>
        </w:rPr>
        <w:t>Section 9.11</w:t>
      </w:r>
      <w:r>
        <w:rPr>
          <w:rFonts w:ascii="Times New Roman" w:hAnsi="Times New Roman"/>
          <w:color w:val="000000"/>
          <w:sz w:val="22"/>
        </w:rPr>
        <w:t xml:space="preserve">, the Administrative Agent will promptly (and each Lender irrevocably authorizes the Administrative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 w:hAnsi="Times New Roman"/>
          <w:color w:val="000000"/>
          <w:sz w:val="22"/>
          <w:u w:val="single"/>
        </w:rPr>
        <w:t>Section 9.11</w:t>
      </w:r>
      <w:r>
        <w:rPr>
          <w:rFonts w:ascii="Times New Roman" w:hAnsi="Times New Roman"/>
          <w:color w:val="000000"/>
          <w:sz w:val="22"/>
        </w:rPr>
        <w:t xml:space="preserve">. Prior to releasing or subordinating its interest in particular types or items of property, or to release any Guarantor from its obligations under the Guaranty pursuant to this </w:t>
      </w:r>
      <w:r>
        <w:rPr>
          <w:rFonts w:ascii="Times New Roman" w:hAnsi="Times New Roman"/>
          <w:color w:val="000000"/>
          <w:sz w:val="22"/>
          <w:u w:val="single"/>
        </w:rPr>
        <w:t>Section 9.11</w:t>
      </w:r>
      <w:r>
        <w:rPr>
          <w:rFonts w:ascii="Times New Roman" w:hAnsi="Times New Roman"/>
          <w:color w:val="000000"/>
          <w:sz w:val="22"/>
        </w:rPr>
        <w:t>, the Administrative Agent and/or the Collateral Agent shall be entitled to receive a certificate of a Responsible Officer of the Borrower stating that such actions are permitted under this Agreement. Neither the Administrative Agent nor the Collateral Agent shall be liable for any such release undertaken in reliance upon any such certificate of a Responsible Officer of the Borrower.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The Collateral Agent shall have no obligation whatsoever to the Lenders or to any other Person to assure that the Collateral exists or is owned by any Loan Party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rights, authorities and powers granted or available to the Collateral Agent in this </w:t>
      </w:r>
      <w:r>
        <w:rPr>
          <w:rFonts w:ascii="Times New Roman" w:hAnsi="Times New Roman"/>
          <w:color w:val="000000"/>
          <w:sz w:val="22"/>
          <w:u w:val="single"/>
        </w:rPr>
        <w:t>Section 9.11</w:t>
      </w:r>
      <w:r>
        <w:rPr>
          <w:rFonts w:ascii="Times New Roman" w:hAnsi="Times New Roman"/>
          <w:color w:val="000000"/>
          <w:sz w:val="20"/>
        </w:rPr>
        <w:t xml:space="preserve"> </w:t>
      </w:r>
      <w:r>
        <w:rPr>
          <w:rFonts w:ascii="Times New Roman" w:hAnsi="Times New Roman"/>
          <w:color w:val="000000"/>
          <w:sz w:val="22"/>
        </w:rPr>
        <w:t>or in any of the Collateral Documents,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by a court of competent jurisdiction in a final and non-appealable decision).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9.12 </w:t>
      </w:r>
      <w:r>
        <w:rPr>
          <w:rFonts w:ascii="Times New Roman" w:hAnsi="Times New Roman"/>
          <w:b w:val="false"/>
          <w:color w:val="000000"/>
          <w:sz w:val="22"/>
          <w:u w:val="single"/>
        </w:rPr>
        <w:t>Other Agents; Arrangers and Managers</w:t>
      </w:r>
      <w:r>
        <w:rPr>
          <w:rFonts w:ascii="Times New Roman" w:hAnsi="Times New Roman"/>
          <w:b w:val="false"/>
          <w:color w:val="000000"/>
          <w:sz w:val="22"/>
        </w:rPr>
        <w:t>. None of the Lenders, the Agents, the Lead Arranger or other Persons identified on the facing page or signature pages of this Agreement as a “lead arranger and bookrunner” or “co-arranger”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9.13 </w:t>
      </w:r>
      <w:r>
        <w:rPr>
          <w:rFonts w:ascii="Times New Roman" w:hAnsi="Times New Roman"/>
          <w:b w:val="false"/>
          <w:color w:val="000000"/>
          <w:sz w:val="22"/>
          <w:u w:val="single"/>
        </w:rPr>
        <w:t>Appointment of Supplemental Administrative Agents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hAnsi="Times New Roman"/>
          <w:color w:val="000000"/>
          <w:sz w:val="22"/>
          <w:u w:val="single"/>
        </w:rPr>
        <w:t>Supplemental Administrative Agent</w:t>
      </w:r>
      <w:r>
        <w:rPr>
          <w:rFonts w:ascii="Times New Roman" w:hAnsi="Times New Roman"/>
          <w:color w:val="000000"/>
          <w:sz w:val="20"/>
        </w:rPr>
        <w:t xml:space="preserve">” </w:t>
      </w:r>
      <w:r>
        <w:rPr>
          <w:rFonts w:ascii="Times New Roman" w:hAnsi="Times New Roman"/>
          <w:color w:val="000000"/>
          <w:sz w:val="22"/>
        </w:rPr>
        <w:t>and, collectively, as “</w:t>
      </w:r>
      <w:r>
        <w:rPr>
          <w:rFonts w:ascii="Times New Roman" w:hAnsi="Times New Roman"/>
          <w:color w:val="000000"/>
          <w:sz w:val="22"/>
          <w:u w:val="single"/>
        </w:rPr>
        <w:t>Supplemental Administrative Agents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and of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(c) Should any instrument in writing from any Loan Party be required by any Supplemental Administrative Agent so appointed by the Administrative Agent for more fully and certainly vesting in and confirming to him or it such rights, powers, privileges and duties,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2"/>
        </w:rPr>
      </w:pPr>
      <w:r>
        <w:rPr>
          <w:rFonts w:ascii="Times New Roman" w:hAnsi="Times New Roman"/>
          <w:color w:val="000000"/>
          <w:sz w:val="22"/>
        </w:rPr>
        <w:t>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9.14 </w:t>
      </w:r>
      <w:r>
        <w:rPr>
          <w:rFonts w:ascii="Times New Roman" w:hAnsi="Times New Roman"/>
          <w:b w:val="false"/>
          <w:color w:val="000000"/>
          <w:sz w:val="22"/>
          <w:u w:val="single"/>
        </w:rPr>
        <w:t>Withholding Tax</w:t>
      </w:r>
      <w:r>
        <w:rPr>
          <w:rFonts w:ascii="Times New Roman" w:hAnsi="Times New Roman"/>
          <w:b w:val="false"/>
          <w:color w:val="000000"/>
          <w:sz w:val="22"/>
        </w:rPr>
        <w:t xml:space="preserve">. To the extent required by any applicable Law, the Administrative Agent shall deduct or withhold from any payment to any Lender under any Loan Document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that rendered the exemption from, or reduction of, withholding Tax ineffective), such Lender shall indemnify and hold harmless the Administrative Agent fully for all amounts paid, directly or indirectly, by the Administrative Agent as Tax or otherwise, and shall make payable in respect thereof within ten (10) days after demand therefore including any penalties, additions to Tax or interest and together with all expenses (including legal expenses, allocated internal costs and out-of-pocket expenses) incurred,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Times New Roman" w:hAnsi="Times New Roman"/>
          <w:b w:val="false"/>
          <w:color w:val="000000"/>
          <w:sz w:val="22"/>
          <w:u w:val="single"/>
        </w:rPr>
        <w:t>Section 9.14</w:t>
      </w:r>
      <w:r>
        <w:rPr>
          <w:rFonts w:ascii="Times New Roman" w:hAnsi="Times New Roman"/>
          <w:b w:val="false"/>
          <w:color w:val="000000"/>
          <w:sz w:val="22"/>
        </w:rPr>
        <w:t xml:space="preserve">. The agreements in this </w:t>
      </w:r>
      <w:r>
        <w:rPr>
          <w:rFonts w:ascii="Times New Roman" w:hAnsi="Times New Roman"/>
          <w:b w:val="false"/>
          <w:color w:val="000000"/>
          <w:sz w:val="22"/>
          <w:u w:val="single"/>
        </w:rPr>
        <w:t>Section 9.14</w:t>
      </w:r>
      <w:r>
        <w:rPr>
          <w:rFonts w:ascii="Times New Roman" w:hAnsi="Times New Roman"/>
          <w:color w:val="000000"/>
          <w:sz w:val="20"/>
        </w:rPr>
        <w:t xml:space="preserve"> </w:t>
      </w:r>
      <w:r>
        <w:rPr>
          <w:rFonts w:ascii="Times New Roman" w:hAnsi="Times New Roman"/>
          <w:b w:val="false"/>
          <w:color w:val="000000"/>
          <w:sz w:val="22"/>
        </w:rPr>
        <w:t xml:space="preserve">shall survive the resignation and/or replacement of the Administrative Agent, any assignment of rights by, or the replacement of, a Lender, the termination of this Agreement and the repayment, satisfaction or discharge of all other obligations. For the avoidance of doubt, (1) the term “Lender” shall, for purposes of this </w:t>
      </w:r>
      <w:r>
        <w:rPr>
          <w:rFonts w:ascii="Times New Roman" w:hAnsi="Times New Roman"/>
          <w:b w:val="false"/>
          <w:color w:val="000000"/>
          <w:sz w:val="22"/>
          <w:u w:val="single"/>
        </w:rPr>
        <w:t>Section 9.14</w:t>
      </w:r>
      <w:r>
        <w:rPr>
          <w:rFonts w:ascii="Times New Roman" w:hAnsi="Times New Roman"/>
          <w:b w:val="false"/>
          <w:color w:val="000000"/>
          <w:sz w:val="22"/>
        </w:rPr>
        <w:t xml:space="preserve">, include any L/C Issuer and any Swing Line Lender and “applicable Law” includes FATCA and (2) this </w:t>
      </w:r>
      <w:r>
        <w:rPr>
          <w:rFonts w:ascii="Times New Roman" w:hAnsi="Times New Roman"/>
          <w:b w:val="false"/>
          <w:color w:val="000000"/>
          <w:sz w:val="22"/>
          <w:u w:val="single"/>
        </w:rPr>
        <w:t>Section 9.14</w:t>
      </w:r>
      <w:r>
        <w:rPr>
          <w:rFonts w:ascii="Times New Roman" w:hAnsi="Times New Roman"/>
          <w:color w:val="000000"/>
          <w:sz w:val="20"/>
        </w:rPr>
        <w:t xml:space="preserve"> </w:t>
      </w:r>
      <w:r>
        <w:rPr>
          <w:rFonts w:ascii="Times New Roman" w:hAnsi="Times New Roman"/>
          <w:b w:val="false"/>
          <w:color w:val="000000"/>
          <w:sz w:val="22"/>
        </w:rPr>
        <w:t xml:space="preserve">shall not limit or expand the obligations of the Borrower or any Guarantor under </w:t>
      </w:r>
      <w:r>
        <w:rPr>
          <w:rFonts w:ascii="Times New Roman" w:hAnsi="Times New Roman"/>
          <w:b w:val="false"/>
          <w:color w:val="000000"/>
          <w:sz w:val="22"/>
          <w:u w:val="single"/>
        </w:rPr>
        <w:t>Section 3.01</w:t>
      </w:r>
      <w:r>
        <w:rPr>
          <w:rFonts w:ascii="Times New Roman" w:hAnsi="Times New Roman"/>
          <w:color w:val="000000"/>
          <w:sz w:val="20"/>
        </w:rPr>
        <w:t xml:space="preserve"> </w:t>
      </w:r>
      <w:r>
        <w:rPr>
          <w:rFonts w:ascii="Times New Roman" w:hAnsi="Times New Roman"/>
          <w:b w:val="false"/>
          <w:color w:val="000000"/>
          <w:sz w:val="22"/>
        </w:rPr>
        <w:t>or any other provision of this Agreement.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9.15 </w:t>
      </w:r>
      <w:r>
        <w:rPr>
          <w:rFonts w:ascii="Times New Roman" w:hAnsi="Times New Roman"/>
          <w:b w:val="false"/>
          <w:color w:val="000000"/>
          <w:sz w:val="22"/>
          <w:u w:val="single"/>
        </w:rPr>
        <w:t>Cash Management Obligations; Secured Hedge Agreements</w:t>
      </w:r>
      <w:r>
        <w:rPr>
          <w:rFonts w:ascii="Times New Roman" w:hAnsi="Times New Roman"/>
          <w:b w:val="false"/>
          <w:color w:val="000000"/>
          <w:sz w:val="22"/>
        </w:rPr>
        <w:t>. Except as otherwise expressly set forth herein or in any Guarantee or other Collateral Document, no</w:t>
      </w:r>
      <w:r>
        <w:rPr>
          <w:rFonts w:ascii="Times New Roman" w:hAnsi="Times New Roman"/>
          <w:color w:val="000000"/>
          <w:sz w:val="20"/>
        </w:rPr>
        <w:t xml:space="preserve"> </w:t>
      </w:r>
      <w:r>
        <w:rPr>
          <w:rFonts w:ascii="Times New Roman" w:hAnsi="Times New Roman"/>
          <w:b w:val="false"/>
          <w:color w:val="000000"/>
          <w:sz w:val="22"/>
        </w:rPr>
        <w:t xml:space="preserve">Cash Management Bank or Hedge Bank that obtains the benefits of </w:t>
      </w:r>
      <w:r>
        <w:rPr>
          <w:rFonts w:ascii="Times New Roman" w:hAnsi="Times New Roman"/>
          <w:b w:val="false"/>
          <w:color w:val="000000"/>
          <w:sz w:val="22"/>
          <w:u w:val="single"/>
        </w:rPr>
        <w:t>Section 8.04</w:t>
      </w:r>
      <w:r>
        <w:rPr>
          <w:rFonts w:ascii="Times New Roman" w:hAnsi="Times New Roman"/>
          <w:b w:val="false"/>
          <w:color w:val="000000"/>
          <w:sz w:val="22"/>
        </w:rPr>
        <w:t xml:space="preserve">, any Guarantee or any Collateral by virtue of the provisions hereof or of any Guarantee or other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an Agent and, in such case, only to the extent expressly provided in the Loan Documents. Notwithstanding any other provision of this </w:t>
      </w:r>
      <w:r>
        <w:rPr>
          <w:rFonts w:ascii="Times New Roman" w:hAnsi="Times New Roman"/>
          <w:b w:val="false"/>
          <w:color w:val="000000"/>
          <w:sz w:val="22"/>
          <w:u w:val="single"/>
        </w:rPr>
        <w:t>Article IX</w:t>
      </w:r>
      <w:r>
        <w:rPr>
          <w:rFonts w:ascii="Times New Roman" w:hAnsi="Times New Roman"/>
          <w:color w:val="000000"/>
          <w:sz w:val="20"/>
        </w:rPr>
        <w:t xml:space="preserve"> </w:t>
      </w:r>
      <w:r>
        <w:rPr>
          <w:rFonts w:ascii="Times New Roman" w:hAnsi="Times New Roman"/>
          <w:b w:val="false"/>
          <w:color w:val="000000"/>
          <w:sz w:val="22"/>
        </w:rPr>
        <w:t>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Obligations, together with such supporting documentation as the Administrative Agent may reasonably request, from the applicable Cash Management Bank or Hedge Bank.</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u w:val="single"/>
        </w:rPr>
        <w:t>Section 9.16 Erroneous Payments.</w:t>
      </w:r>
      <w:r>
        <w:rPr>
          <w:rFonts w:ascii="Times New Roman" w:hAnsi="Times New Roman"/>
          <w:color w:val="000000"/>
          <w:sz w:val="20"/>
        </w:rPr>
        <w:t xml:space="preserve"> </w:t>
      </w:r>
    </w:p>
    <w:p>
      <w:pPr>
        <w:pStyle w:val="Heading2"/>
        <w:bidi w:val="0"/>
        <w:spacing w:before="0" w:after="240"/>
        <w:ind w:left="720" w:right="0" w:firstLine="720"/>
        <w:jc w:val="both"/>
        <w:rPr>
          <w:rFonts w:ascii="Times New Roman" w:hAnsi="Times New Roman"/>
          <w:sz w:val="20"/>
        </w:rPr>
      </w:pPr>
      <w:r>
        <w:rPr>
          <w:rFonts w:ascii="Times New Roman" w:hAnsi="Times New Roman"/>
          <w:b w:val="false"/>
          <w:color w:val="000000"/>
          <w:sz w:val="22"/>
        </w:rPr>
        <w:t>(a) If the Administrative Agent notifies a Lender, L/C Issuer or Secured Party, or any Person who has received funds on behalf of a Lender, L/C Issuer or Secured Party such Lender or L/C Issuer (any such Lender, L/C Issuer, Secured Party or other recipient, a “</w:t>
      </w:r>
      <w:r>
        <w:rPr>
          <w:rFonts w:ascii="Times New Roman" w:hAnsi="Times New Roman"/>
          <w:b w:val="false"/>
          <w:color w:val="000000"/>
          <w:sz w:val="22"/>
          <w:u w:val="single"/>
        </w:rPr>
        <w:t>Payment Recipient</w:t>
      </w:r>
      <w:r>
        <w:rPr>
          <w:rFonts w:ascii="Times New Roman" w:hAnsi="Times New Roman"/>
          <w:color w:val="000000"/>
          <w:sz w:val="20"/>
        </w:rPr>
        <w:t>”</w:t>
      </w:r>
      <w:r>
        <w:rPr>
          <w:rFonts w:ascii="Times New Roman" w:hAnsi="Times New Roman"/>
          <w:b w:val="false"/>
          <w:color w:val="000000"/>
          <w:sz w:val="22"/>
        </w:rPr>
        <w:t>) that the Administrative Agent has determined in its sole discretion (whether or not after receipt of any notice under immediately succeeding clause (b)) that any funds received by such Payment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ind w:left="720" w:right="0" w:hanging="0"/>
        <w:jc w:val="both"/>
        <w:rPr>
          <w:rFonts w:ascii="Times New Roman" w:hAnsi="Times New Roman"/>
          <w:sz w:val="20"/>
        </w:rPr>
      </w:pPr>
      <w:r>
        <w:rPr>
          <w:rFonts w:ascii="Times New Roman" w:hAnsi="Times New Roman"/>
          <w:b w:val="false"/>
          <w:color w:val="000000"/>
          <w:sz w:val="22"/>
        </w:rPr>
        <w:t>Recipient from the Administrative Agent or any of its Affiliates were erroneously transmitted to, or otherwise erroneously or mistakenly received by, such Payment Recipient (whether or not known to such Lender, L/C Issuer,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b w:val="false"/>
          <w:color w:val="000000"/>
          <w:sz w:val="22"/>
          <w:u w:val="single"/>
        </w:rPr>
        <w:t>Erroneous Payment</w:t>
      </w:r>
      <w:r>
        <w:rPr>
          <w:rFonts w:ascii="Times New Roman" w:hAnsi="Times New Roman"/>
          <w:color w:val="000000"/>
          <w:sz w:val="20"/>
        </w:rPr>
        <w:t>”</w:t>
      </w:r>
      <w:r>
        <w:rPr>
          <w:rFonts w:ascii="Times New Roman" w:hAnsi="Times New Roman"/>
          <w:b w:val="false"/>
          <w:color w:val="000000"/>
          <w:sz w:val="22"/>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L/C Issuer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(b) Without limiting immediately preceding </w:t>
      </w:r>
      <w:r>
        <w:rPr>
          <w:rFonts w:ascii="Times New Roman" w:hAnsi="Times New Roman"/>
          <w:color w:val="000000"/>
          <w:sz w:val="22"/>
          <w:u w:val="single"/>
        </w:rPr>
        <w:t>clause (a)</w:t>
      </w:r>
      <w:r>
        <w:rPr>
          <w:rFonts w:ascii="Times New Roman" w:hAnsi="Times New Roman"/>
          <w:color w:val="000000"/>
          <w:sz w:val="22"/>
        </w:rPr>
        <w:t>, each Lender, L/C Issuer or Secured Party, or any Person who has received funds on behalf of a Lender, L/C Issuer or Secured Party such Lender or L/C Issuer,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L/C Issuer or Secured Party, or other such recipient, otherwise becomes aware was transmitted, or received, in error or by mistake (in whole or in part) in each case:</w:t>
      </w:r>
    </w:p>
    <w:p>
      <w:pPr>
        <w:pStyle w:val="TextBody"/>
        <w:bidi w:val="0"/>
        <w:ind w:left="720" w:right="0" w:hanging="0"/>
        <w:jc w:val="left"/>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(i) (A) in the case of immediately preceding </w:t>
      </w:r>
      <w:r>
        <w:rPr>
          <w:rFonts w:ascii="Times New Roman" w:hAnsi="Times New Roman"/>
          <w:color w:val="000000"/>
          <w:sz w:val="22"/>
          <w:u w:val="single"/>
        </w:rPr>
        <w:t>clauses (x)</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2"/>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2"/>
          <w:u w:val="single"/>
        </w:rPr>
        <w:t>clause (z)</w:t>
      </w:r>
      <w:r>
        <w:rPr>
          <w:rFonts w:ascii="Times New Roman" w:hAnsi="Times New Roman"/>
          <w:color w:val="000000"/>
          <w:sz w:val="22"/>
        </w:rPr>
        <w:t>), in each case, with respect to such payment, prepayment or repayment; and</w:t>
      </w:r>
    </w:p>
    <w:p>
      <w:pPr>
        <w:pStyle w:val="TextBody"/>
        <w:bidi w:val="0"/>
        <w:ind w:left="1440" w:right="0" w:hanging="0"/>
        <w:jc w:val="both"/>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(ii) such Lender, L/C Issuer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2"/>
          <w:u w:val="single"/>
        </w:rPr>
        <w:t>Section 9.16(b)</w:t>
      </w:r>
      <w:r>
        <w:rPr>
          <w:rFonts w:ascii="Times New Roman" w:hAnsi="Times New Roman"/>
          <w:color w:val="000000"/>
          <w:sz w:val="22"/>
        </w:rPr>
        <w:t>.</w:t>
      </w:r>
    </w:p>
    <w:p>
      <w:pPr>
        <w:pStyle w:val="TextBody"/>
        <w:bidi w:val="0"/>
        <w:ind w:left="1440" w:right="0" w:hanging="0"/>
        <w:jc w:val="left"/>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(c) Each Lender, L/C Issuer or Secured Party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from any source, against any amount due to the Administrative Agent under preceding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or under the indemnification provisions of this Agreement.</w:t>
      </w:r>
    </w:p>
    <w:p>
      <w:pPr>
        <w:pStyle w:val="TextBody"/>
        <w:bidi w:val="0"/>
        <w:ind w:left="1440" w:right="0" w:hanging="0"/>
        <w:jc w:val="both"/>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(d) In the event that an Erroneous Payment (or portion thereof) is not recovered by the Administrative Agent for any reason, after demand therefor by the Administrative Agent in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720" w:right="0" w:hanging="0"/>
        <w:jc w:val="both"/>
        <w:rPr>
          <w:rFonts w:ascii="Times New Roman" w:hAnsi="Times New Roman"/>
          <w:sz w:val="20"/>
        </w:rPr>
      </w:pPr>
      <w:r>
        <w:rPr>
          <w:rFonts w:ascii="Times New Roman" w:hAnsi="Times New Roman"/>
          <w:color w:val="000000"/>
          <w:sz w:val="22"/>
        </w:rPr>
        <w:t xml:space="preserve">accordance with preceding </w:t>
      </w:r>
      <w:r>
        <w:rPr>
          <w:rFonts w:ascii="Times New Roman" w:hAnsi="Times New Roman"/>
          <w:color w:val="000000"/>
          <w:sz w:val="22"/>
          <w:u w:val="single"/>
        </w:rPr>
        <w:t>clause (a)</w:t>
      </w:r>
      <w:r>
        <w:rPr>
          <w:rFonts w:ascii="Times New Roman" w:hAnsi="Times New Roman"/>
          <w:color w:val="000000"/>
          <w:sz w:val="22"/>
        </w:rPr>
        <w:t>, from any Lender or L/C Issuer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2"/>
          <w:u w:val="single"/>
        </w:rPr>
        <w:t>Erroneous Payment Return Deficiency</w:t>
      </w:r>
      <w:r>
        <w:rPr>
          <w:rFonts w:ascii="Times New Roman" w:hAnsi="Times New Roman"/>
          <w:color w:val="000000"/>
          <w:sz w:val="20"/>
        </w:rPr>
        <w:t>”</w:t>
      </w:r>
      <w:r>
        <w:rPr>
          <w:rFonts w:ascii="Times New Roman" w:hAnsi="Times New Roman"/>
          <w:color w:val="000000"/>
          <w:sz w:val="22"/>
        </w:rPr>
        <w:t>), upon the Administrative Agent’s notice to such Lender or L/C Issuer at any time, (i) such Lender or L/C Issuer shall be deemed to have assigned its Loans (but not its Commitments) of the relevant Class with respect to which such Erroneous Payment was made (the “</w:t>
      </w:r>
      <w:r>
        <w:rPr>
          <w:rFonts w:ascii="Times New Roman" w:hAnsi="Times New Roman"/>
          <w:color w:val="000000"/>
          <w:sz w:val="22"/>
          <w:u w:val="single"/>
        </w:rPr>
        <w:t>Erroneous Payment Impacted Class</w:t>
      </w:r>
      <w:r>
        <w:rPr>
          <w:rFonts w:ascii="Times New Roman" w:hAnsi="Times New Roman"/>
          <w:color w:val="000000"/>
          <w:sz w:val="20"/>
        </w:rPr>
        <w:t>”</w:t>
      </w:r>
      <w:r>
        <w:rPr>
          <w:rFonts w:ascii="Times New Roman" w:hAnsi="Times New Roman"/>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olor w:val="000000"/>
          <w:sz w:val="22"/>
          <w:u w:val="single"/>
        </w:rPr>
        <w:t>Erroneous Payment Deficiency Assignment</w:t>
      </w:r>
      <w:r>
        <w:rPr>
          <w:rFonts w:ascii="Times New Roman" w:hAnsi="Times New Roman"/>
          <w:color w:val="000000"/>
          <w:sz w:val="20"/>
        </w:rPr>
        <w:t>”</w:t>
      </w:r>
      <w:r>
        <w:rPr>
          <w:rFonts w:ascii="Times New Roman" w:hAnsi="Times New Roman"/>
          <w:color w:val="000000"/>
          <w:sz w:val="22"/>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Platform as to which the Administrative Agent and such parties are participants) with respect to such Erroneous Payment Deficiency Assignment, and such Lender or L/C Issuer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L/C Issuer,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For the avoidance of doubt, no Erroneous Payment Deficiency Assignment will reduce the Commitments of any Lender or L/C Issuer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L/C Issuer or Secured Party under the Loan Documents with respect to each Erroneous Payment Return Deficiency (the “</w:t>
      </w:r>
      <w:r>
        <w:rPr>
          <w:rFonts w:ascii="Times New Roman" w:hAnsi="Times New Roman"/>
          <w:color w:val="000000"/>
          <w:sz w:val="22"/>
          <w:u w:val="single"/>
        </w:rPr>
        <w:t>Erroneous Payment Subrogation Rights</w:t>
      </w:r>
      <w:r>
        <w:rPr>
          <w:rFonts w:ascii="Times New Roman" w:hAnsi="Times New Roman"/>
          <w:color w:val="000000"/>
          <w:sz w:val="20"/>
        </w:rPr>
        <w:t>”</w:t>
      </w:r>
      <w:r>
        <w:rPr>
          <w:rFonts w:ascii="Times New Roman" w:hAnsi="Times New Roman"/>
          <w:color w:val="000000"/>
          <w:sz w:val="22"/>
        </w:rPr>
        <w:t>).</w:t>
      </w:r>
    </w:p>
    <w:p>
      <w:pPr>
        <w:pStyle w:val="TextBody"/>
        <w:bidi w:val="0"/>
        <w:ind w:left="1440" w:right="0" w:hanging="0"/>
        <w:jc w:val="both"/>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(e) The parties hereto agree that an Erroneous Payment shall not pay, prepay, repay, discharge or otherwise satisfy any Obligations owed by the Borrower or any other Loan Party; provided that this </w:t>
      </w:r>
      <w:r>
        <w:rPr>
          <w:rFonts w:ascii="Times New Roman" w:hAnsi="Times New Roman"/>
          <w:color w:val="000000"/>
          <w:sz w:val="22"/>
          <w:u w:val="single"/>
        </w:rPr>
        <w:t>Section 9.16(e)</w:t>
      </w:r>
      <w:r>
        <w:rPr>
          <w:rFonts w:ascii="Times New Roman" w:hAnsi="Times New Roman"/>
          <w:color w:val="000000"/>
          <w:sz w:val="20"/>
        </w:rPr>
        <w:t xml:space="preserve"> </w:t>
      </w:r>
      <w:r>
        <w:rPr>
          <w:rFonts w:ascii="Times New Roman" w:hAnsi="Times New Roman"/>
          <w:color w:val="000000"/>
          <w:sz w:val="22"/>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that the foregoing shall not apply to the extent any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ind w:left="1440" w:right="0" w:hanging="0"/>
        <w:jc w:val="both"/>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720" w:right="0" w:firstLine="720"/>
        <w:jc w:val="both"/>
        <w:rPr>
          <w:rFonts w:ascii="Times New Roman" w:hAnsi="Times New Roman"/>
          <w:color w:val="000000"/>
          <w:sz w:val="22"/>
        </w:rPr>
      </w:pPr>
      <w:r>
        <w:rPr>
          <w:rFonts w:ascii="Times New Roman" w:hAnsi="Times New Roman"/>
          <w:color w:val="000000"/>
          <w:sz w:val="22"/>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ind w:left="1440" w:right="0" w:hanging="0"/>
        <w:jc w:val="both"/>
        <w:rPr/>
      </w:pPr>
      <w:r>
        <w:rPr/>
        <w:t> </w:t>
      </w:r>
    </w:p>
    <w:p>
      <w:pPr>
        <w:pStyle w:val="TextBody"/>
        <w:bidi w:val="0"/>
        <w:ind w:left="720" w:right="0" w:firstLine="720"/>
        <w:jc w:val="both"/>
        <w:rPr>
          <w:rFonts w:ascii="Times New Roman" w:hAnsi="Times New Roman"/>
          <w:sz w:val="20"/>
        </w:rPr>
      </w:pPr>
      <w:r>
        <w:rPr>
          <w:rFonts w:ascii="Times New Roman" w:hAnsi="Times New Roman"/>
          <w:color w:val="000000"/>
          <w:sz w:val="22"/>
        </w:rPr>
        <w:t xml:space="preserve">(g) Each party’s obligations, agreements and waivers under this </w:t>
      </w:r>
      <w:r>
        <w:rPr>
          <w:rFonts w:ascii="Times New Roman" w:hAnsi="Times New Roman"/>
          <w:color w:val="000000"/>
          <w:sz w:val="22"/>
          <w:u w:val="single"/>
        </w:rPr>
        <w:t>Section 9.16</w:t>
      </w:r>
      <w:r>
        <w:rPr>
          <w:rFonts w:ascii="Times New Roman" w:hAnsi="Times New Roman"/>
          <w:color w:val="000000"/>
          <w:sz w:val="20"/>
        </w:rPr>
        <w:t xml:space="preserve"> </w:t>
      </w:r>
      <w:r>
        <w:rPr>
          <w:rFonts w:ascii="Times New Roman" w:hAnsi="Times New Roman"/>
          <w:color w:val="000000"/>
          <w:sz w:val="22"/>
        </w:rPr>
        <w:t>shall survive the resignation or replacement of the Administrative Agent, any transfer of rights or obligations by, or the replacement of, a Lender or L/C Issuer,</w:t>
      </w:r>
      <w:r>
        <w:rPr>
          <w:rFonts w:ascii="Times New Roman" w:hAnsi="Times New Roman"/>
          <w:color w:val="000000"/>
          <w:sz w:val="20"/>
        </w:rPr>
        <w:t xml:space="preserve"> </w:t>
      </w:r>
      <w:r>
        <w:rPr>
          <w:rFonts w:ascii="Times New Roman" w:hAnsi="Times New Roman"/>
          <w:color w:val="000000"/>
          <w:sz w:val="22"/>
        </w:rPr>
        <w:t>the termination of the Commitments and/or the repayment, satisfaction or discharge of all Obligations (or any portion thereof) under any Loan Document.</w:t>
      </w:r>
    </w:p>
    <w:p>
      <w:pPr>
        <w:pStyle w:val="Heading1"/>
        <w:bidi w:val="0"/>
        <w:spacing w:before="0" w:after="240"/>
        <w:jc w:val="center"/>
        <w:rPr>
          <w:rFonts w:ascii="Times New Roman" w:hAnsi="Times New Roman"/>
          <w:sz w:val="20"/>
        </w:rPr>
      </w:pPr>
      <w:r>
        <w:rPr>
          <w:rFonts w:ascii="Times New Roman" w:hAnsi="Times New Roman"/>
          <w:b w:val="false"/>
          <w:caps/>
          <w:color w:val="010000"/>
          <w:sz w:val="22"/>
        </w:rPr>
        <w:t>Article X</w:t>
      </w:r>
      <w:r>
        <w:rPr>
          <w:rFonts w:ascii="Times New Roman" w:hAnsi="Times New Roman"/>
          <w:b w:val="false"/>
          <w:color w:val="000000"/>
          <w:sz w:val="22"/>
          <w:u w:val="single"/>
        </w:rPr>
        <w:br/>
        <w:br/>
        <w:t>Miscellaneous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10.01 </w:t>
      </w:r>
      <w:r>
        <w:rPr>
          <w:rFonts w:ascii="Times New Roman" w:hAnsi="Times New Roman"/>
          <w:b w:val="false"/>
          <w:color w:val="000000"/>
          <w:sz w:val="22"/>
          <w:u w:val="single"/>
        </w:rPr>
        <w:t>Amendments, Etc.</w:t>
      </w:r>
      <w:r>
        <w:rPr>
          <w:rFonts w:ascii="Times New Roman" w:hAnsi="Times New Roman"/>
          <w:color w:val="000000"/>
          <w:sz w:val="20"/>
        </w:rPr>
        <w:t xml:space="preserve"> </w:t>
      </w:r>
      <w:r>
        <w:rPr>
          <w:rFonts w:ascii="Times New Roman" w:hAnsi="Times New Roman"/>
          <w:b w:val="false"/>
          <w:color w:val="000000"/>
          <w:sz w:val="22"/>
        </w:rPr>
        <w:t xml:space="preserve">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(with a copy to the Administrative Agent), as the case may be, and each such waiver or consent shall be effective only in the specific instance and for the specific purpose for which given;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no such amendment, waiver or consent shall:</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extend or increase the Commitment of any Lender without the written consent of each Lender directly and adversely affected thereby (it being understood that a waiver of any condition precedent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or the waiver of any Default, mandatory prepayment or mandatory reduction of the Commitments shall not constitute an extension or increase of any Commitment of any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postpone any date scheduled for, or reduce the amount of, any payment of principal or interest under </w:t>
      </w:r>
      <w:r>
        <w:rPr>
          <w:rFonts w:ascii="Times New Roman" w:hAnsi="Times New Roman"/>
          <w:color w:val="000000"/>
          <w:sz w:val="22"/>
          <w:u w:val="single"/>
        </w:rPr>
        <w:t>Section 2.07</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2.08</w:t>
      </w:r>
      <w:r>
        <w:rPr>
          <w:rFonts w:ascii="Times New Roman" w:hAnsi="Times New Roman"/>
          <w:color w:val="000000"/>
          <w:sz w:val="22"/>
        </w:rPr>
        <w:t>, fees or other amounts without the written consent of each Lender directly and adversely affected thereby, it being understood that the waiver of (or amendment to the terms of) any mandatory prepayment of the Term Loans shall not constitute a postponement of any date scheduled for the payment of principal or interest;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reduce the principal of, or the rate of interest specified herein on, any Loan or L/C Borrowing, or (subject to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 xml:space="preserve">of the second proviso to this </w:t>
      </w:r>
      <w:r>
        <w:rPr>
          <w:rFonts w:ascii="Times New Roman" w:hAnsi="Times New Roman"/>
          <w:color w:val="000000"/>
          <w:sz w:val="22"/>
          <w:u w:val="single"/>
        </w:rPr>
        <w:t>Section 10.01</w:t>
      </w:r>
      <w:r>
        <w:rPr>
          <w:rFonts w:ascii="Times New Roman" w:hAnsi="Times New Roman"/>
          <w:color w:val="000000"/>
          <w:sz w:val="22"/>
        </w:rPr>
        <w:t xml:space="preserve">) any fees or other amounts payable hereunder or under any other Loan Document without the written consent of each Lender directly and adversely affected thereby;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only the consent of the Required Lenders shall be necessary to amend the definition of “Default Rate” or to waive any obligation of the Borrower to pay interest at the Default Rate;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change any provision of this </w:t>
      </w:r>
      <w:r>
        <w:rPr>
          <w:rFonts w:ascii="Times New Roman" w:hAnsi="Times New Roman"/>
          <w:color w:val="000000"/>
          <w:sz w:val="22"/>
          <w:u w:val="single"/>
        </w:rPr>
        <w:t>Section 10.01</w:t>
      </w:r>
      <w:r>
        <w:rPr>
          <w:rFonts w:ascii="Times New Roman" w:hAnsi="Times New Roman"/>
          <w:color w:val="000000"/>
          <w:sz w:val="22"/>
        </w:rPr>
        <w:t xml:space="preserve">, </w:t>
      </w:r>
      <w:r>
        <w:rPr>
          <w:rFonts w:ascii="Times New Roman" w:hAnsi="Times New Roman"/>
          <w:color w:val="000000"/>
          <w:sz w:val="22"/>
          <w:u w:val="single"/>
        </w:rPr>
        <w:t>Section 2.05(b)(v)</w:t>
      </w:r>
      <w:r>
        <w:rPr>
          <w:rFonts w:ascii="Times New Roman" w:hAnsi="Times New Roman"/>
          <w:color w:val="000000"/>
          <w:sz w:val="22"/>
        </w:rPr>
        <w:t xml:space="preserve">, </w:t>
      </w: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rPr>
        <w:t xml:space="preserve">or any other provisions in this Agreement or any other Loan Document in a manner that would alter the application of payments set forth in </w:t>
      </w:r>
      <w:r>
        <w:rPr>
          <w:rFonts w:ascii="Times New Roman" w:hAnsi="Times New Roman"/>
          <w:color w:val="000000"/>
          <w:sz w:val="22"/>
          <w:u w:val="single"/>
        </w:rPr>
        <w:t>Sections 2.05(b)(v)</w:t>
      </w:r>
      <w:r>
        <w:rPr>
          <w:rFonts w:ascii="Times New Roman" w:hAnsi="Times New Roman"/>
          <w:color w:val="000000"/>
          <w:sz w:val="22"/>
        </w:rPr>
        <w:t xml:space="preserve">, </w:t>
      </w:r>
      <w:r>
        <w:rPr>
          <w:rFonts w:ascii="Times New Roman" w:hAnsi="Times New Roman"/>
          <w:color w:val="000000"/>
          <w:sz w:val="22"/>
          <w:u w:val="single"/>
        </w:rPr>
        <w:t>Section 8.04</w:t>
      </w:r>
      <w:r>
        <w:rPr>
          <w:rFonts w:ascii="Times New Roman" w:hAnsi="Times New Roman"/>
          <w:color w:val="000000"/>
          <w:sz w:val="20"/>
        </w:rPr>
        <w:t xml:space="preserve"> </w:t>
      </w:r>
      <w:r>
        <w:rPr>
          <w:rFonts w:ascii="Times New Roman" w:hAnsi="Times New Roman"/>
          <w:color w:val="000000"/>
          <w:sz w:val="22"/>
        </w:rPr>
        <w:t xml:space="preserve">or the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sharing of payments without the written consent of each Lender directly and adversely affected thereby;</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release all or substantially all of the Collateral in any transaction or series of related transactions, without the written consent of each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transaction permitted under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shall not be subject to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to the extent such transaction does not result in the release of all or substantially all of the Collateral; or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release all or substantially all of the value of the Guarantees in any transaction or series of related transactions, without the written consent of each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any transaction permitted under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shall not be subject to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to the extent such transaction does not result in the release of all or substantially all of the Guarantees;</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(g) change the definition of “Required Lenders” or “Required Revolving Credit Lenders” without the written consent of each applicable Lender;</w:t>
      </w:r>
      <w:r>
        <w:rPr>
          <w:rFonts w:ascii="Times New Roman" w:hAnsi="Times New Roman"/>
          <w:color w:val="000000"/>
          <w:sz w:val="20"/>
        </w:rPr>
        <w:t xml:space="preserve">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(h) subordinate (x) the Liens securing any of the Obligations on all or substantially all of the Collateral to the Liens securing any other Indebtedness or other obligations or (y) any Obligations in contractual right of payment to any other Indebtedness or other obligations, in each case, without the written consent of each applicable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any subordination expressly permitted by </w:t>
      </w:r>
      <w:r>
        <w:rPr>
          <w:rFonts w:ascii="Times New Roman" w:hAnsi="Times New Roman"/>
          <w:color w:val="000000"/>
          <w:sz w:val="22"/>
          <w:u w:val="single"/>
        </w:rPr>
        <w:t>Section 9.11</w:t>
      </w:r>
      <w:r>
        <w:rPr>
          <w:rFonts w:ascii="Times New Roman" w:hAnsi="Times New Roman"/>
          <w:color w:val="000000"/>
          <w:sz w:val="20"/>
        </w:rPr>
        <w:t xml:space="preserve"> </w:t>
      </w:r>
      <w:r>
        <w:rPr>
          <w:rFonts w:ascii="Times New Roman" w:hAnsi="Times New Roman"/>
          <w:color w:val="000000"/>
          <w:sz w:val="22"/>
        </w:rPr>
        <w:t xml:space="preserve">(as in effect on the Closing Date or as otherwise amended with the consent of each Lender adversely affected thereby) shall not be restricted by </w:t>
      </w:r>
      <w:r>
        <w:rPr>
          <w:rFonts w:ascii="Times New Roman" w:hAnsi="Times New Roman"/>
          <w:color w:val="000000"/>
          <w:sz w:val="22"/>
          <w:u w:val="single"/>
        </w:rPr>
        <w:t>subclauses (x)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and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u w:val="single"/>
        </w:rPr>
        <w:t xml:space="preserve"> </w:t>
      </w:r>
      <w:r>
        <w:rPr>
          <w:rFonts w:ascii="Times New Roman" w:hAnsi="Times New Roman"/>
          <w:color w:val="000000"/>
          <w:sz w:val="22"/>
          <w:u w:val="single"/>
        </w:rPr>
        <w:t>further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 amendment, waiver or consent shall, unless in writing and signed by each L/C Issuer in addition to the Lenders required above, change any provision of </w:t>
      </w:r>
      <w:r>
        <w:rPr>
          <w:rFonts w:ascii="Times New Roman" w:hAnsi="Times New Roman"/>
          <w:color w:val="000000"/>
          <w:sz w:val="22"/>
          <w:u w:val="single"/>
        </w:rPr>
        <w:t>Section 1.10</w:t>
      </w:r>
      <w:r>
        <w:rPr>
          <w:rFonts w:ascii="Times New Roman" w:hAnsi="Times New Roman"/>
          <w:color w:val="000000"/>
          <w:sz w:val="20"/>
        </w:rPr>
        <w:t xml:space="preserve"> </w:t>
      </w:r>
      <w:r>
        <w:rPr>
          <w:rFonts w:ascii="Times New Roman" w:hAnsi="Times New Roman"/>
          <w:color w:val="000000"/>
          <w:sz w:val="22"/>
        </w:rPr>
        <w:t xml:space="preserve">or affect the rights or duties of an L/C Issuer under this Agreement or any Letter of Credit Application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or any fees or other amounts payable to, the Administrative Agent under this Agreement or any other Loan Document; (iv) </w:t>
      </w:r>
      <w:r>
        <w:rPr>
          <w:rFonts w:ascii="Times New Roman" w:hAnsi="Times New Roman"/>
          <w:color w:val="000000"/>
          <w:sz w:val="22"/>
          <w:u w:val="single"/>
        </w:rPr>
        <w:t>Section 10.07(h)</w:t>
      </w:r>
      <w:r>
        <w:rPr>
          <w:rFonts w:ascii="Times New Roman" w:hAnsi="Times New Roman"/>
          <w:color w:val="000000"/>
          <w:sz w:val="20"/>
        </w:rPr>
        <w:t xml:space="preserve"> </w:t>
      </w:r>
      <w:r>
        <w:rPr>
          <w:rFonts w:ascii="Times New Roman" w:hAnsi="Times New Roman"/>
          <w:color w:val="000000"/>
          <w:sz w:val="22"/>
        </w:rPr>
        <w:t xml:space="preserve">may not be amended, waived or otherwise modified without the consent of each Granting Lender all or any part of whose Loans are being funded by an SPC at the time of such amendment, waiver or other modification; and (v) (A)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(B) in determining whether the requisite percentage of Lenders have consented to any amendment, modification, waiver or other action, any Defaulting Lenders shall be deemed to have voted in the same proportion as those Lenders who are not Defaulting Lenders, except with respect to (x) any amendment, waiver or other action which by its terms requires the consent of all Lenders or each affected Lender and (y) any amendment, waiver or other action that by its terms adversely affects any Defaulting Lender in its capacity as a Lender in a manner that differs in any material respect from other affected Lenders, in which case the consent of such Defaulting Lender shall be required and (vi) solely with the consent of the Required Revolving Credit Lenders (but without the consent of the Required Lenders or any other Lender), any such agreement may waive, amend or modify any condition precedent set forth in </w:t>
      </w:r>
      <w:r>
        <w:rPr>
          <w:rFonts w:ascii="Times New Roman" w:hAnsi="Times New Roman"/>
          <w:color w:val="000000"/>
          <w:sz w:val="22"/>
          <w:u w:val="single"/>
        </w:rPr>
        <w:t xml:space="preserve">Section 4.02 </w:t>
      </w:r>
      <w:r>
        <w:rPr>
          <w:rFonts w:ascii="Times New Roman" w:hAnsi="Times New Roman"/>
          <w:color w:val="000000"/>
          <w:sz w:val="22"/>
        </w:rPr>
        <w:t xml:space="preserve">hereof as it pertains to any Revolving Credit Loan (it being understood that this </w:t>
      </w:r>
      <w:r>
        <w:rPr>
          <w:rFonts w:ascii="Times New Roman" w:hAnsi="Times New Roman"/>
          <w:color w:val="000000"/>
          <w:sz w:val="22"/>
          <w:u w:val="single"/>
        </w:rPr>
        <w:t>clause (vi)</w:t>
      </w:r>
      <w:r>
        <w:rPr>
          <w:rFonts w:ascii="Times New Roman" w:hAnsi="Times New Roman"/>
          <w:color w:val="000000"/>
          <w:sz w:val="20"/>
        </w:rPr>
        <w:t xml:space="preserve"> </w:t>
      </w:r>
      <w:r>
        <w:rPr>
          <w:rFonts w:ascii="Times New Roman" w:hAnsi="Times New Roman"/>
          <w:color w:val="000000"/>
          <w:sz w:val="22"/>
        </w:rPr>
        <w:t>shall not require Required Revolving Credit Lender approval in connection with any amendment, consent or waiver of a Default or Event of Default hereunder, in which case, only the approval of the Required Lenders shall be required in respect of such consent, amendment or waiver). Notwithstanding the foregoing, this Agreement may be amended (or amended and restated) with the written consent of the Required Lenders, and the Borrower and the Administrative Agent (a)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Term Loans, the Revolving Credit Loans, the Incremental Term Loans, if any, and the accrued interest and fees in respect thereof and (b) to include appropriately the Lenders holding such credit facilities in any determination of the Required Lenders and, if applicable, the Required Revolving Credit Lenders.</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Notwithstanding anything to the contrary contained in this </w:t>
      </w:r>
      <w:r>
        <w:rPr>
          <w:rFonts w:ascii="Times New Roman" w:hAnsi="Times New Roman"/>
          <w:color w:val="000000"/>
          <w:sz w:val="22"/>
          <w:u w:val="single"/>
        </w:rPr>
        <w:t>Section 10.01</w:t>
      </w:r>
      <w:r>
        <w:rPr>
          <w:rFonts w:ascii="Times New Roman" w:hAnsi="Times New Roman"/>
          <w:color w:val="000000"/>
          <w:sz w:val="22"/>
        </w:rPr>
        <w:t>, any guarantees, collateral security documents and related documents executed by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Law or advice of local counsel, (ii) to cure ambiguities, omissions, mistakes or defects or (iii) to cause such guarantee, collateral security document or other document to be consistent with this Agreement and the other Loan Documents. Furthermore, with the consent of the Administrative Agent at the request of the Borrower (without the need to obtain any consent of any Lender), any Loan Document may be amended to cure ambiguities, inconsistencies, omissions, mistakes or defects.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Notwithstanding anything in this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 xml:space="preserve">to the contrary, (a) technical and conforming modifications to the Loan Documents may be made with the consent of the Borrower and the Administrative Agent to the extent necessary (i) to integrate any Incremental Facilities, Refinancing Term Loans, Refinancing Revolving Commitments, Extended Term Loans or Extended Revolving Credit Commitments, (ii) to integrate or make administrative modifications with respect to borrowings and issuances of Letters of Credit, (iii) to integrate and terms or conditions from any Incremental Facility Amendment that are more restrictive than this Agreement in accordance with </w:t>
      </w:r>
      <w:r>
        <w:rPr>
          <w:rFonts w:ascii="Times New Roman" w:hAnsi="Times New Roman"/>
          <w:color w:val="000000"/>
          <w:sz w:val="22"/>
          <w:u w:val="single"/>
        </w:rPr>
        <w:t>Section 2.14(d)</w:t>
      </w:r>
      <w:r>
        <w:rPr>
          <w:rFonts w:ascii="Times New Roman" w:hAnsi="Times New Roman"/>
          <w:color w:val="000000"/>
          <w:sz w:val="20"/>
        </w:rPr>
        <w:t xml:space="preserve"> </w:t>
      </w:r>
      <w:r>
        <w:rPr>
          <w:rFonts w:ascii="Times New Roman" w:hAnsi="Times New Roman"/>
          <w:color w:val="000000"/>
          <w:sz w:val="22"/>
        </w:rPr>
        <w:t xml:space="preserve">and (iv) to make any amendments permitted by </w:t>
      </w:r>
      <w:r>
        <w:rPr>
          <w:rFonts w:ascii="Times New Roman" w:hAnsi="Times New Roman"/>
          <w:color w:val="000000"/>
          <w:sz w:val="22"/>
          <w:u w:val="single"/>
        </w:rPr>
        <w:t>Section 1.03</w:t>
      </w:r>
      <w:r>
        <w:rPr>
          <w:rFonts w:ascii="Times New Roman" w:hAnsi="Times New Roman"/>
          <w:color w:val="000000"/>
          <w:sz w:val="20"/>
        </w:rPr>
        <w:t xml:space="preserve"> </w:t>
      </w:r>
      <w:r>
        <w:rPr>
          <w:rFonts w:ascii="Times New Roman" w:hAnsi="Times New Roman"/>
          <w:color w:val="000000"/>
          <w:sz w:val="22"/>
        </w:rPr>
        <w:t xml:space="preserve">and to give effect to any election to adopt IFRS and (b) without the consent of any Lender or L/C Issuer, the Loan Parties and the Administrative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Acceptable Intercreditor Agreement pursuant to the terms thereof, in each case with the holders of Indebtedness permitted by this Agreement to be secured by the Collateral. Without limitation of the foregoing, the Borrower may, without the consent of any Lenders, upon delivery to the Administrative Agent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w:t>
      </w:r>
      <w:r>
        <w:rPr>
          <w:rFonts w:ascii="Times New Roman" w:hAnsi="Times New Roman"/>
          <w:color w:val="000000"/>
          <w:sz w:val="22"/>
          <w:u w:val="single"/>
        </w:rPr>
        <w:t>Sections 2.05(a)(iv)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2.14(b)(ii)</w:t>
      </w:r>
      <w:r>
        <w:rPr>
          <w:rFonts w:ascii="Times New Roman" w:hAnsi="Times New Roman"/>
          <w:color w:val="000000"/>
          <w:sz w:val="20"/>
        </w:rPr>
        <w:t xml:space="preserve"> </w:t>
      </w:r>
      <w:r>
        <w:rPr>
          <w:rFonts w:ascii="Times New Roman" w:hAnsi="Times New Roman"/>
          <w:color w:val="000000"/>
          <w:sz w:val="22"/>
        </w:rPr>
        <w:t xml:space="preserve">hereof) and/or (iii) with the consent of the Administrative Agent, modify any other provision hereunder or under any other Loan Document in a manner, as determined by the Administrative Agent in its sole discretion, more favorable to the then-existing Lenders or Class or Classes of Lenders, in each case in connection with the issuance or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Administrative Agent will have at least five Business Days (or such shorter period to which the Administrative Agent may consent in its reasonable discretion) after written notice from the Borrower to provide such consent and may, in its sole discretion, provide written notice to the Lenders regarding any such proposed amendment.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10.02 </w:t>
      </w:r>
      <w:r>
        <w:rPr>
          <w:rFonts w:ascii="Times New Roman" w:hAnsi="Times New Roman"/>
          <w:b w:val="false"/>
          <w:color w:val="000000"/>
          <w:sz w:val="22"/>
          <w:u w:val="single"/>
        </w:rPr>
        <w:t>Notices and Other Communications; Facsimile Copies</w:t>
      </w:r>
      <w:r>
        <w:rPr>
          <w:rFonts w:ascii="Times New Roman" w:hAnsi="Times New Roman"/>
          <w:b w:val="false"/>
          <w:color w:val="000000"/>
          <w:sz w:val="22"/>
        </w:rPr>
        <w: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Unless otherwise expressly provided herein, all notices and other communications provided for hereunder or under any other Loan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 xml:space="preserve">(i) if to the Borrower, the Administrative Agent or an L/C Issuer or the Swing Line Lender, to the address, electronic mail address or telephone number specified for such Person on </w:t>
      </w:r>
      <w:r>
        <w:rPr>
          <w:rFonts w:ascii="Times New Roman" w:hAnsi="Times New Roman"/>
          <w:color w:val="000000"/>
          <w:sz w:val="22"/>
          <w:u w:val="single"/>
        </w:rPr>
        <w:t>Schedule 10.02</w:t>
      </w:r>
      <w:r>
        <w:rPr>
          <w:rFonts w:ascii="Times New Roman" w:hAnsi="Times New Roman"/>
          <w:color w:val="000000"/>
          <w:sz w:val="20"/>
        </w:rPr>
        <w:t xml:space="preserve"> </w:t>
      </w:r>
      <w:r>
        <w:rPr>
          <w:rFonts w:ascii="Times New Roman" w:hAnsi="Times New Roman"/>
          <w:color w:val="000000"/>
          <w:sz w:val="22"/>
        </w:rPr>
        <w:t>or to such other address, electronic mail address or telephone number as shall be designated by such party in a notice to the other parties; and</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if to any other Lender, to the address, facsimile number, electronic mail address or telephone number specified in its Administrative Questionnaire or to such other address, facsimile number, electronic mail address or telephone number as shall be designated by such party in a written notice to the Borrower, the Administrative Agent, any L/C Issuer and any Swing Line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four (4) Business Days after deposit in the mails, postage prepaid; (C) if delivered by facsimile, when sent and receipt has been confirmed by telephone; and (D) if delivered by electronic mail (which form of delivery is subject to the provisions of </w:t>
      </w:r>
      <w:r>
        <w:rPr>
          <w:rFonts w:ascii="Times New Roman" w:hAnsi="Times New Roman"/>
          <w:color w:val="000000"/>
          <w:sz w:val="22"/>
          <w:u w:val="single"/>
        </w:rPr>
        <w:t>Section 10.02(b)</w:t>
      </w:r>
      <w:r>
        <w:rPr>
          <w:rFonts w:ascii="Times New Roman" w:hAnsi="Times New Roman"/>
          <w:color w:val="000000"/>
          <w:sz w:val="22"/>
        </w:rPr>
        <w:t xml:space="preserve">), when delivered;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notices and other communications to the Administrative Agent, any L/C Issuer and any Swing Line Lender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shall not be effective until actually received by such Person during the person’s normal business hours. In no event shall a voice mail message be effective as a notice, communication or confirmation hereunder.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Electronic Communications</w:t>
      </w:r>
      <w:r>
        <w:rPr>
          <w:rFonts w:ascii="Times New Roman" w:hAnsi="Times New Roman"/>
          <w:color w:val="000000"/>
          <w:sz w:val="22"/>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the foregoing shall not apply to notices to any Lender or any L/C Issuer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if such Lender or such L/C Issuer, as applicable, has notified the Administrative Agent that it is incapable of receiving notices under such Article by electronic communication. The Administrative Agent or the Borrower may, in their discretion, agree to accept notices and other communications to it hereunder by 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approval of such procedures may be limited to particular notices or communications.</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of notification that such notice or communication is available and identifying the website address therefor.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The Platform</w:t>
      </w:r>
      <w:r>
        <w:rPr>
          <w:rFonts w:ascii="Times New Roman" w:hAnsi="Times New Roman"/>
          <w:color w:val="000000"/>
          <w:sz w:val="22"/>
        </w:rPr>
        <w:t>. THE PLATFORM IS PROVIDED “AS IS” AND “AS AVAILABLE.” THE AGENT PARTIES (AS DEFINED BELOW) DO NOT WARRANT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Lead Arranger or any of their respective Agent-Related Persons (collectively, the “</w:t>
      </w:r>
      <w:r>
        <w:rPr>
          <w:rFonts w:ascii="Times New Roman" w:hAnsi="Times New Roman"/>
          <w:color w:val="000000"/>
          <w:sz w:val="22"/>
          <w:u w:val="single"/>
        </w:rPr>
        <w:t>Agent Parties</w:t>
      </w:r>
      <w:r>
        <w:rPr>
          <w:rFonts w:ascii="Times New Roman" w:hAnsi="Times New Roman"/>
          <w:color w:val="000000"/>
          <w:sz w:val="20"/>
        </w:rPr>
        <w:t>”</w:t>
      </w:r>
      <w:r>
        <w:rPr>
          <w:rFonts w:ascii="Times New Roman" w:hAnsi="Times New Roman"/>
          <w:color w:val="000000"/>
          <w:sz w:val="22"/>
        </w:rPr>
        <w:t xml:space="preserve">) have any liability to the Loan Parties, any Lender, any L/C Issuer or any other Person for losses, claims, damages, liabilities or expenses of any kind (whether in tort, contract or otherwise) arising out of the Borrower’s or the Administrative Agent’s transmission of the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in no event shall any Agent Party have any liability to any Loan Party, any Lender, any L/C Issuer or any other Person for indirect, special, incidental, consequential or punitive damages (as opposed to direct or actual damages).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Change of Address, Etc</w:t>
      </w:r>
      <w:r>
        <w:rPr>
          <w:rFonts w:ascii="Times New Roman" w:hAnsi="Times New Roman"/>
          <w:color w:val="000000"/>
          <w:sz w:val="22"/>
        </w:rPr>
        <w:t>. Each of the Borrower, the Administrative Agent, any L/C Issuer and any Swing Line Lender may change its address, telecopier or telephone number for notices and other communications hereunder by notice to the other parties hereto. Each other Lender may change its address, facsimile or telephone number for notices and other communications hereunder by notice to the Borrower, the Administrative Agent, any L/C Issuer and any Swing Line Lender. In addition, each Lender agrees to notify the Administrative Agents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Reliance by Agents and Lenders</w:t>
      </w:r>
      <w:r>
        <w:rPr>
          <w:rFonts w:ascii="Times New Roman" w:hAnsi="Times New Roman"/>
          <w:color w:val="000000"/>
          <w:sz w:val="22"/>
        </w:rPr>
        <w:t>. The Administrative Agent, the L/C Issuer and the Lenders shall be entitled to rely and act upon any notices (including telephonic Committed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L/C Issuer and Lender from all losses, costs, expenses and liabilities resulting from the reliance by such Person on each notice purportedly given by or on behalf of the Borrower in the absence of gross negligence or willful misconduct. All telephonic notices to the Administrative Agent may be recorded by the Administrative Agent or the L/C Issuer, as applicable, and each of the parties hereto hereby consents to such recording.</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Notice to other Loan Parties</w:t>
      </w:r>
      <w:r>
        <w:rPr>
          <w:rFonts w:ascii="Times New Roman" w:hAnsi="Times New Roman"/>
          <w:color w:val="000000"/>
          <w:sz w:val="22"/>
        </w:rPr>
        <w:t>. The Borrower agrees that notices to be given to any other Loan Party under this Agreement or any other Loan Document may be given to the Borrower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in accordance with the provisions of this </w:t>
      </w:r>
      <w:r>
        <w:rPr>
          <w:rFonts w:ascii="Times New Roman" w:hAnsi="Times New Roman"/>
          <w:color w:val="000000"/>
          <w:sz w:val="22"/>
          <w:u w:val="single"/>
        </w:rPr>
        <w:t>Section 10.02</w:t>
      </w:r>
      <w:r>
        <w:rPr>
          <w:rFonts w:ascii="Times New Roman" w:hAnsi="Times New Roman"/>
          <w:color w:val="000000"/>
          <w:sz w:val="20"/>
        </w:rPr>
        <w:t xml:space="preserve"> </w:t>
      </w:r>
      <w:r>
        <w:rPr>
          <w:rFonts w:ascii="Times New Roman" w:hAnsi="Times New Roman"/>
          <w:color w:val="000000"/>
          <w:sz w:val="22"/>
        </w:rPr>
        <w:t>with the same effect as if given to such other Loan Party in accordance with the terms hereunder or thereunder.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Communications</w:t>
      </w:r>
      <w:r>
        <w:rPr>
          <w:rFonts w:ascii="Times New Roman" w:hAnsi="Times New Roman"/>
          <w:color w:val="000000"/>
          <w:sz w:val="22"/>
        </w:rPr>
        <w:t>. Each Loan Party hereby agrees that it will provide to the Administrative Agent all information, documents and other materials that it is obligated to furnish to the Administrative Agent pursuant to this Agreement and any other Loan Document, including all notices, requests, financial statements, financial and other reports, certificates and other information materials, but excluding any such communication (unless otherwise approved in writing by the Administrative Agent)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a notice of intent to exercise a Cure Right, (iv) provides notice of any Default under this Agreement or (v) is required to be delivered to satisfy any condition precedent to the effectiveness of this Agreement and/or any borrowing or other extension of credit hereunder (all such non excluded communications, collectively, the “</w:t>
      </w:r>
      <w:r>
        <w:rPr>
          <w:rFonts w:ascii="Times New Roman" w:hAnsi="Times New Roman"/>
          <w:color w:val="000000"/>
          <w:sz w:val="22"/>
          <w:u w:val="single"/>
        </w:rPr>
        <w:t>Specified Communications</w:t>
      </w:r>
      <w:r>
        <w:rPr>
          <w:rFonts w:ascii="Times New Roman" w:hAnsi="Times New Roman"/>
          <w:color w:val="000000"/>
          <w:sz w:val="20"/>
        </w:rPr>
        <w:t>”</w:t>
      </w:r>
      <w:r>
        <w:rPr>
          <w:rFonts w:ascii="Times New Roman" w:hAnsi="Times New Roman"/>
          <w:color w:val="000000"/>
          <w:sz w:val="22"/>
        </w:rPr>
        <w:t>; and all such excluded and non-excluded communications, the “</w:t>
      </w:r>
      <w:r>
        <w:rPr>
          <w:rFonts w:ascii="Times New Roman" w:hAnsi="Times New Roman"/>
          <w:color w:val="000000"/>
          <w:sz w:val="22"/>
          <w:u w:val="single"/>
        </w:rPr>
        <w:t>Communications</w:t>
      </w:r>
      <w:r>
        <w:rPr>
          <w:rFonts w:ascii="Times New Roman" w:hAnsi="Times New Roman"/>
          <w:color w:val="000000"/>
          <w:sz w:val="20"/>
        </w:rPr>
        <w:t>”</w:t>
      </w:r>
      <w:r>
        <w:rPr>
          <w:rFonts w:ascii="Times New Roman" w:hAnsi="Times New Roman"/>
          <w:color w:val="000000"/>
          <w:sz w:val="22"/>
        </w:rPr>
        <w:t xml:space="preserve">), by transmitting the Specified Communications in an electronic/soft medium in a format reasonably acceptable to the Administrative Agent at such e-mail address(es) provided to the Borrower from time to time or in such other form, including hard copy delivery thereof, as the Administrative Agent shall require. In addition, each Loan Party agrees to continue to provide the Specified Communications to the Administrative Agent in the manner specified in this Agreement or any other Loan Document or in such other form, including hard copy delivery thereof, as the Administrative Agent shall reasonably request. Nothing in this </w:t>
      </w:r>
      <w:r>
        <w:rPr>
          <w:rFonts w:ascii="Times New Roman" w:hAnsi="Times New Roman"/>
          <w:color w:val="000000"/>
          <w:sz w:val="22"/>
          <w:u w:val="single"/>
        </w:rPr>
        <w:t>Section 10.02</w:t>
      </w:r>
      <w:r>
        <w:rPr>
          <w:rFonts w:ascii="Times New Roman" w:hAnsi="Times New Roman"/>
          <w:color w:val="000000"/>
          <w:sz w:val="20"/>
        </w:rPr>
        <w:t xml:space="preserve"> </w:t>
      </w:r>
      <w:r>
        <w:rPr>
          <w:rFonts w:ascii="Times New Roman" w:hAnsi="Times New Roman"/>
          <w:color w:val="000000"/>
          <w:sz w:val="22"/>
        </w:rPr>
        <w:t>shall prejudice the right of the Agents, any Lender or any Loan Party to give any notice or other communication pursuant to this Agreement or any other Loan Document in any other manner specified in this Agreement or any other Loan Document or as any such Agent shall require.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10.03 </w:t>
      </w:r>
      <w:r>
        <w:rPr>
          <w:rFonts w:ascii="Times New Roman" w:hAnsi="Times New Roman"/>
          <w:b w:val="false"/>
          <w:color w:val="000000"/>
          <w:sz w:val="22"/>
          <w:u w:val="single"/>
        </w:rPr>
        <w:t>No Waiver; Cumulative Remedies</w:t>
      </w:r>
      <w:r>
        <w:rPr>
          <w:rFonts w:ascii="Times New Roman" w:hAnsi="Times New Roman"/>
          <w:b w:val="false"/>
          <w:color w:val="000000"/>
          <w:sz w:val="22"/>
        </w:rPr>
        <w:t>. No failure by any Lender, the L/C Issuer or the Administrative Agent or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10.04 </w:t>
      </w:r>
      <w:r>
        <w:rPr>
          <w:rFonts w:ascii="Times New Roman" w:hAnsi="Times New Roman"/>
          <w:b w:val="false"/>
          <w:color w:val="000000"/>
          <w:sz w:val="22"/>
          <w:u w:val="single"/>
        </w:rPr>
        <w:t>Attorney Costs and Expenses</w:t>
      </w:r>
      <w:r>
        <w:rPr>
          <w:rFonts w:ascii="Times New Roman" w:hAnsi="Times New Roman"/>
          <w:b w:val="false"/>
          <w:color w:val="000000"/>
          <w:sz w:val="22"/>
        </w:rPr>
        <w:t>. The Borrower agrees (a) if the Closing Date occurs, to pay or reimburse the Administrative Agent and the Lead Arranger for all reasonable and documented or invoiced out-of-pocket costs and expenses associated with the syndication of the Initial Term Loans and Commitments and the preparation, execution and delivery, administration, amendment, modification, waiver, notarization and/or enforcement of this Agreement and the other Loan Documents, and any amendment, waiver, consent or other modification of the provisions hereof and thereof (whether or not the transactions contemplated thereby are consummated), including all Attorney Costs of Paul Hastings LLP (and any other counsel retained with the Borrower’s consent (such consent not to be unreasonably withheld or delayed)) and one local and foreign counsel in each relevant jurisdiction, and (b) to pay or reimburse the Administrative Agent, the Lead Arranger, the L/C Issuer and each Lender for all reasonable and documented out-of-pocket costs and expenses incurred in connection with the enforcement of any rights or remedies under this Agreement or the other Loan Documents (including all costs and expenses incurred in connection with any workout or restructuring in respect of the Loans, all such costs and expenses incurred during any legal proceeding, including any proceeding under any Debtor Relief Law, and including all Attorney Costs of counsel to the Administrative Agent). The foregoing costs and expenses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shall include all reasonable search, filing, recording and title insurance charges and fees related thereto, and other reasonable and documented out-of-pocket expenses incurred by any Agent. The agreements in this </w:t>
      </w:r>
      <w:r>
        <w:rPr>
          <w:rFonts w:ascii="Times New Roman" w:hAnsi="Times New Roman"/>
          <w:b w:val="false"/>
          <w:color w:val="000000"/>
          <w:sz w:val="22"/>
          <w:u w:val="single"/>
        </w:rPr>
        <w:t>Section 10.04</w:t>
      </w:r>
      <w:r>
        <w:rPr>
          <w:rFonts w:ascii="Times New Roman" w:hAnsi="Times New Roman"/>
          <w:color w:val="000000"/>
          <w:sz w:val="20"/>
        </w:rPr>
        <w:t xml:space="preserve"> </w:t>
      </w:r>
      <w:r>
        <w:rPr>
          <w:rFonts w:ascii="Times New Roman" w:hAnsi="Times New Roman"/>
          <w:b w:val="false"/>
          <w:color w:val="000000"/>
          <w:sz w:val="22"/>
        </w:rPr>
        <w:t xml:space="preserve">shall survive the termination of the Aggregate Commitments and repayment of all other Obligations. All amounts due under this </w:t>
      </w:r>
      <w:r>
        <w:rPr>
          <w:rFonts w:ascii="Times New Roman" w:hAnsi="Times New Roman"/>
          <w:b w:val="false"/>
          <w:color w:val="000000"/>
          <w:sz w:val="22"/>
          <w:u w:val="single"/>
        </w:rPr>
        <w:t>Section 10.04</w:t>
      </w:r>
      <w:r>
        <w:rPr>
          <w:rFonts w:ascii="Times New Roman" w:hAnsi="Times New Roman"/>
          <w:color w:val="000000"/>
          <w:sz w:val="20"/>
        </w:rPr>
        <w:t xml:space="preserve"> </w:t>
      </w:r>
      <w:r>
        <w:rPr>
          <w:rFonts w:ascii="Times New Roman" w:hAnsi="Times New Roman"/>
          <w:b w:val="false"/>
          <w:color w:val="000000"/>
          <w:sz w:val="22"/>
        </w:rPr>
        <w:t xml:space="preserve">shall be paid within ten (10) Business Days of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or charged to the Loan Account in accordance with </w:t>
      </w:r>
      <w:r>
        <w:rPr>
          <w:rFonts w:ascii="Times New Roman" w:hAnsi="Times New Roman"/>
          <w:b w:val="false"/>
          <w:color w:val="000000"/>
          <w:sz w:val="22"/>
          <w:u w:val="single"/>
        </w:rPr>
        <w:t>Section 2.19</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10.05 </w:t>
      </w:r>
      <w:r>
        <w:rPr>
          <w:rFonts w:ascii="Times New Roman" w:hAnsi="Times New Roman"/>
          <w:b w:val="false"/>
          <w:color w:val="000000"/>
          <w:sz w:val="22"/>
          <w:u w:val="single"/>
        </w:rPr>
        <w:t>Indemnification by the Borrower</w:t>
      </w:r>
      <w:r>
        <w:rPr>
          <w:rFonts w:ascii="Times New Roman" w:hAnsi="Times New Roman"/>
          <w:b w:val="false"/>
          <w:color w:val="000000"/>
          <w:sz w:val="22"/>
        </w:rPr>
        <w:t>. Whether or not the transactions contemplated hereby are consummated, the Borrower shall indemnify and hold harmless each Agent-Related Person, each Lender, each L/C Issuer, the Lead Arranger and their respective Affiliates and their and their Affiliates’ respective partners, directors, officers, employees, counsel, agents, advisors, managers, members and other representatives (collectively, the “</w:t>
      </w:r>
      <w:r>
        <w:rPr>
          <w:rFonts w:ascii="Times New Roman" w:hAnsi="Times New Roman"/>
          <w:b w:val="false"/>
          <w:color w:val="000000"/>
          <w:sz w:val="22"/>
          <w:u w:val="single"/>
        </w:rPr>
        <w:t>Indemnitees</w:t>
      </w:r>
      <w:r>
        <w:rPr>
          <w:rFonts w:ascii="Times New Roman" w:hAnsi="Times New Roman"/>
          <w:color w:val="000000"/>
          <w:sz w:val="20"/>
        </w:rPr>
        <w:t>”</w:t>
      </w:r>
      <w:r>
        <w:rPr>
          <w:rFonts w:ascii="Times New Roman" w:hAnsi="Times New Roman"/>
          <w:b w:val="false"/>
          <w:color w:val="000000"/>
          <w:sz w:val="22"/>
        </w:rPr>
        <w:t>) from and against any and all losses, liabilities, damages, claims, and reasonable and documented or invoiced out-of-pocket fees and expenses (including reasonable Attorney Costs of one counsel for all Indemnitees and, if necessary, one firm of local counsel in each appropriate jurisdiction (which may include a single special counsel acting in multiple jurisdictions) for all Indemnitees (and, in the case of an actual or perceived conflict of interest, where the Indemnitee affected by such conflict informs the Borrower of such conflict and thereafter retains its own counsel, of another firm of counsel for such affected Indemnitee)) of any such Indemnitee arising out of or relating to any claim or any litigation or other proceeding (regardless of whether such Indemnitee is a party thereto and whether or not such proceedings are brought by the Borrower, its equity holders, its Affiliates, creditors or any other third person) that relates to the Transactions, including the financing contemplated hereby, of any kind or nature whatsoever which may at any time be imposed on, incurred by or asserted against any such Indemnitee in any way relating to or arising out of or in connection with (a) the execution, delivery, enforcement, performance or administration of any Loan Document or any other agreement, letter or instrument delivered in connection with the transactions contemplated thereby or the consummation of the transactions contemplated thereby, (b) any Commitment,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or (c) any actual or alleged presence or Release or threat of Release of Hazardous Materials on, at, under or from any property currently or formerly owned, leased or operated by the Borrower, any other Loan Party or any of their respective Subsidiaries, or any Environmental Liability related in any way to the Borrower, any other Loan Party or any of their respective Subsidiaries, or (d)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(all the foregoing, collectively, the “</w:t>
      </w:r>
      <w:r>
        <w:rPr>
          <w:rFonts w:ascii="Times New Roman" w:hAnsi="Times New Roman"/>
          <w:b w:val="false"/>
          <w:color w:val="000000"/>
          <w:sz w:val="22"/>
          <w:u w:val="single"/>
        </w:rPr>
        <w:t>Indemnified Liabilities</w:t>
      </w:r>
      <w:r>
        <w:rPr>
          <w:rFonts w:ascii="Times New Roman" w:hAnsi="Times New Roman"/>
          <w:color w:val="000000"/>
          <w:sz w:val="20"/>
        </w:rPr>
        <w:t>”</w:t>
      </w:r>
      <w:r>
        <w:rPr>
          <w:rFonts w:ascii="Times New Roman" w:hAnsi="Times New Roman"/>
          <w:b w:val="false"/>
          <w:color w:val="000000"/>
          <w:sz w:val="22"/>
        </w:rPr>
        <w:t xml:space="preserve">), in all cases, whether or not caused by or arising, in whole or in part, out of the negligence of the Indemnitee;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such indemnity shall not, as to any Indemnitee, be available to the extent that such liabilities, obligations, losses, damages, penalties, claims, demands, actions, judgments, suits, costs, expenses or disbursements resulted from (w) the gross negligence, bad faith or willful misconduct of such Indemnitee or of any of its controlled Affiliates or controlling Persons or any of the partners, officers, directors, employees, agents, advisors or members of any of the foregoing, in each case who are involved in or aware of the Transactions (as determined by a court of competent jurisdiction in a final and non-appealable decision), (x) a material breach of the Loan Documents by such Indemnitee or one of its Affiliates (as determined by a court of competent jurisdiction in a final and non-appealable decision), (y) disputes solely between and among such Indemnitees to the extent such disputes do not arise from any act or omission of the Borrower or any of its Affiliates (other than with respect to a claim against an Indemnitee acting in its capacity as an Agent or Lead Arranger or similar role under the Loan Documents unless such claim arose from the gross negligence, bad faith or willful misconduct of such Indemnitee (as determined by a court of competent jurisdiction in a final and non-appealable decision)) or, (z) in the case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of a proceeding initiated by the Borrower or one of its Affiliates against an Indemnitee, a material breach of the obligations of such Indemnitee or any of such Indemnitee’s Affiliates or of any of its or their respective officers, directors, employees, agents, advisors or other representatives of any of the foregoing under this Agreement (as determined by a court of competent jurisdiction in a final and non-appealable decision). No Indemnitee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provided that the foregoing shall not limit any Loan Party’s indemnification obligations hereunder. In the case of an investigation, litigation or other proceeding to which the indemnity in this </w:t>
      </w:r>
      <w:r>
        <w:rPr>
          <w:rFonts w:ascii="Times New Roman" w:hAnsi="Times New Roman"/>
          <w:b w:val="false"/>
          <w:color w:val="000000"/>
          <w:sz w:val="22"/>
          <w:u w:val="single"/>
        </w:rPr>
        <w:t>Section 10.05</w:t>
      </w:r>
      <w:r>
        <w:rPr>
          <w:rFonts w:ascii="Times New Roman" w:hAnsi="Times New Roman"/>
          <w:color w:val="000000"/>
          <w:sz w:val="20"/>
        </w:rPr>
        <w:t xml:space="preserve"> </w:t>
      </w:r>
      <w:r>
        <w:rPr>
          <w:rFonts w:ascii="Times New Roman" w:hAnsi="Times New Roman"/>
          <w:b w:val="false"/>
          <w:color w:val="000000"/>
          <w:sz w:val="22"/>
        </w:rPr>
        <w:t xml:space="preserve">applies, such indemnity shall be effective whether or not such investigation, litigation or proceeding is brought by any Loan Party, its directors, managers, partners,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hAnsi="Times New Roman"/>
          <w:b w:val="false"/>
          <w:color w:val="000000"/>
          <w:sz w:val="22"/>
          <w:u w:val="single"/>
        </w:rPr>
        <w:t>Section 10.05</w:t>
      </w:r>
      <w:r>
        <w:rPr>
          <w:rFonts w:ascii="Times New Roman" w:hAnsi="Times New Roman"/>
          <w:color w:val="000000"/>
          <w:sz w:val="20"/>
        </w:rPr>
        <w:t xml:space="preserve"> </w:t>
      </w:r>
      <w:r>
        <w:rPr>
          <w:rFonts w:ascii="Times New Roman" w:hAnsi="Times New Roman"/>
          <w:b w:val="false"/>
          <w:color w:val="000000"/>
          <w:sz w:val="22"/>
        </w:rPr>
        <w:t xml:space="preserve">shall be paid within ten (10) Business Days after demand therefor;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however</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if the Borrower has reimbursed any Indemnitee for any legal or other expenses in connection with any Indemnified Liabilities and there is a final non-appealable judgment of a court of competent jurisdiction that the Indemnitee was not entitled to indemnification or contribution with respect to such Indemnified Liabilities pursuant to the express terms of this </w:t>
      </w:r>
      <w:r>
        <w:rPr>
          <w:rFonts w:ascii="Times New Roman" w:hAnsi="Times New Roman"/>
          <w:b w:val="false"/>
          <w:color w:val="000000"/>
          <w:sz w:val="22"/>
          <w:u w:val="single"/>
        </w:rPr>
        <w:t>Section 10.05</w:t>
      </w:r>
      <w:r>
        <w:rPr>
          <w:rFonts w:ascii="Times New Roman" w:hAnsi="Times New Roman"/>
          <w:b w:val="false"/>
          <w:color w:val="000000"/>
          <w:sz w:val="22"/>
        </w:rPr>
        <w:t xml:space="preserve">, then the Indemnitee shall promptly refund such expenses paid by the Borrower to the Indemnitee. The agreements in this </w:t>
      </w:r>
      <w:r>
        <w:rPr>
          <w:rFonts w:ascii="Times New Roman" w:hAnsi="Times New Roman"/>
          <w:b w:val="false"/>
          <w:color w:val="000000"/>
          <w:sz w:val="22"/>
          <w:u w:val="single"/>
        </w:rPr>
        <w:t>Section 10.05</w:t>
      </w:r>
      <w:r>
        <w:rPr>
          <w:rFonts w:ascii="Times New Roman" w:hAnsi="Times New Roman"/>
          <w:color w:val="000000"/>
          <w:sz w:val="20"/>
        </w:rPr>
        <w:t xml:space="preserve"> </w:t>
      </w:r>
      <w:r>
        <w:rPr>
          <w:rFonts w:ascii="Times New Roman" w:hAnsi="Times New Roman"/>
          <w:b w:val="false"/>
          <w:color w:val="000000"/>
          <w:sz w:val="22"/>
        </w:rPr>
        <w:t xml:space="preserve">shall survive the resignation of the Administrative Agent, the replacement of any Lender, the termination of the Aggregate Commitments and the repayment, satisfaction or discharge of all the other Obligations. For the avoidance of doubt, this </w:t>
      </w:r>
      <w:r>
        <w:rPr>
          <w:rFonts w:ascii="Times New Roman" w:hAnsi="Times New Roman"/>
          <w:b w:val="false"/>
          <w:color w:val="000000"/>
          <w:sz w:val="22"/>
          <w:u w:val="single"/>
        </w:rPr>
        <w:t>Section 10.05</w:t>
      </w:r>
      <w:r>
        <w:rPr>
          <w:rFonts w:ascii="Times New Roman" w:hAnsi="Times New Roman"/>
          <w:color w:val="000000"/>
          <w:sz w:val="20"/>
        </w:rPr>
        <w:t xml:space="preserve"> </w:t>
      </w:r>
      <w:r>
        <w:rPr>
          <w:rFonts w:ascii="Times New Roman" w:hAnsi="Times New Roman"/>
          <w:b w:val="false"/>
          <w:color w:val="000000"/>
          <w:sz w:val="22"/>
        </w:rPr>
        <w:t>shall not apply to Taxes other than Taxes that represent liabilities, obligations, losses, damages, etc., with respect to a non-Tax claim.</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10.06 </w:t>
      </w:r>
      <w:r>
        <w:rPr>
          <w:rFonts w:ascii="Times New Roman" w:hAnsi="Times New Roman"/>
          <w:b w:val="false"/>
          <w:color w:val="000000"/>
          <w:sz w:val="22"/>
          <w:u w:val="single"/>
        </w:rPr>
        <w:t>Payments Set Aside</w:t>
      </w:r>
      <w:r>
        <w:rPr>
          <w:rFonts w:ascii="Times New Roman" w:hAnsi="Times New Roman"/>
          <w:b w:val="false"/>
          <w:color w:val="000000"/>
          <w:sz w:val="22"/>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Federal Funds Rate (or if the Federal Funds Rate is not available, a rate determined by the Administrative Agent in accordance with banking industry rules on interbank compensation).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10.07 </w:t>
      </w:r>
      <w:r>
        <w:rPr>
          <w:rFonts w:ascii="Times New Roman" w:hAnsi="Times New Roman"/>
          <w:b w:val="false"/>
          <w:color w:val="000000"/>
          <w:sz w:val="22"/>
          <w:u w:val="single"/>
        </w:rPr>
        <w:t>Successors and Assigns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(a) The provisions of this Agreement shall be binding upon and inure to the benefit of the parties hereto and their respective successors and assigns permitted hereby, except as otherwise provided herein (including without limitation as permitted under </w:t>
      </w:r>
      <w:r>
        <w:rPr>
          <w:rFonts w:ascii="Times New Roman" w:hAnsi="Times New Roman"/>
          <w:color w:val="000000"/>
          <w:sz w:val="22"/>
          <w:u w:val="single"/>
        </w:rPr>
        <w:t>Section 7.04</w:t>
      </w:r>
      <w:r>
        <w:rPr>
          <w:rFonts w:ascii="Times New Roman" w:hAnsi="Times New Roman"/>
          <w:color w:val="000000"/>
          <w:sz w:val="22"/>
        </w:rPr>
        <w:t xml:space="preserve">), neither the Borrower nor any of its Subsidiaries may assign or otherwise transfer any of its rights or obligations hereunder without the prior written consent of each Lender and no Lender may assign or otherwise transfer any of its rights or obligations hereunder except (i) to an Eligible Assignee, (ii) by way of participation in accordance with the provisions of </w:t>
      </w:r>
      <w:r>
        <w:rPr>
          <w:rFonts w:ascii="Times New Roman" w:hAnsi="Times New Roman"/>
          <w:color w:val="000000"/>
          <w:sz w:val="22"/>
          <w:u w:val="single"/>
        </w:rPr>
        <w:t>Section 10.07(e)</w:t>
      </w:r>
      <w:r>
        <w:rPr>
          <w:rFonts w:ascii="Times New Roman" w:hAnsi="Times New Roman"/>
          <w:color w:val="000000"/>
          <w:sz w:val="22"/>
        </w:rPr>
        <w:t xml:space="preserve">, (iii) by way of pledge or assignment of a security interest subject to the restrictions of </w:t>
      </w:r>
      <w:r>
        <w:rPr>
          <w:rFonts w:ascii="Times New Roman" w:hAnsi="Times New Roman"/>
          <w:color w:val="000000"/>
          <w:sz w:val="22"/>
          <w:u w:val="single"/>
        </w:rPr>
        <w:t>Section 10.07(g)</w:t>
      </w:r>
      <w:r>
        <w:rPr>
          <w:rFonts w:ascii="Times New Roman" w:hAnsi="Times New Roman"/>
          <w:color w:val="000000"/>
          <w:sz w:val="20"/>
        </w:rPr>
        <w:t xml:space="preserve"> </w:t>
      </w:r>
      <w:r>
        <w:rPr>
          <w:rFonts w:ascii="Times New Roman" w:hAnsi="Times New Roman"/>
          <w:color w:val="000000"/>
          <w:sz w:val="22"/>
        </w:rPr>
        <w:t xml:space="preserve">or (iv) to an SPC in accordance with the provisions of </w:t>
      </w:r>
      <w:r>
        <w:rPr>
          <w:rFonts w:ascii="Times New Roman" w:hAnsi="Times New Roman"/>
          <w:color w:val="000000"/>
          <w:sz w:val="22"/>
          <w:u w:val="single"/>
        </w:rPr>
        <w:t>Section 10.07(h)</w:t>
      </w:r>
      <w:r>
        <w:rPr>
          <w:rFonts w:ascii="Times New Roman" w:hAnsi="Times New Roman"/>
          <w:color w:val="000000"/>
          <w:sz w:val="20"/>
        </w:rPr>
        <w:t xml:space="preserve"> </w:t>
      </w:r>
      <w:r>
        <w:rPr>
          <w:rFonts w:ascii="Times New Roman" w:hAnsi="Times New Roman"/>
          <w:color w:val="000000"/>
          <w:sz w:val="22"/>
        </w:rPr>
        <w:t>(and any other attempted assignment or transfer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by any party hereto (other than to any Disqualified Lender)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color w:val="000000"/>
          <w:sz w:val="22"/>
          <w:u w:val="single"/>
        </w:rPr>
        <w:t>Section 10.07(e)</w:t>
      </w:r>
      <w:r>
        <w:rPr>
          <w:rFonts w:ascii="Times New Roman" w:hAnsi="Times New Roman"/>
          <w:color w:val="000000"/>
          <w:sz w:val="20"/>
        </w:rPr>
        <w:t xml:space="preserve"> </w:t>
      </w:r>
      <w:r>
        <w:rPr>
          <w:rFonts w:ascii="Times New Roman" w:hAnsi="Times New Roman"/>
          <w:color w:val="000000"/>
          <w:sz w:val="22"/>
        </w:rPr>
        <w:t>and, to the extent expressly contemplated hereby, the Indemnitees) any legal or equitable right, remedy or claim under or by reason of this Agreement.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(b) (i) Subject to the conditions set forth in </w:t>
      </w:r>
      <w:r>
        <w:rPr>
          <w:rFonts w:ascii="Times New Roman" w:hAnsi="Times New Roman"/>
          <w:color w:val="000000"/>
          <w:sz w:val="22"/>
          <w:u w:val="single"/>
        </w:rPr>
        <w:t>paragraph (b)(ii)</w:t>
      </w:r>
      <w:r>
        <w:rPr>
          <w:rFonts w:ascii="Times New Roman" w:hAnsi="Times New Roman"/>
          <w:color w:val="000000"/>
          <w:sz w:val="20"/>
        </w:rPr>
        <w:t xml:space="preserve"> </w:t>
      </w:r>
      <w:r>
        <w:rPr>
          <w:rFonts w:ascii="Times New Roman" w:hAnsi="Times New Roman"/>
          <w:color w:val="000000"/>
          <w:sz w:val="22"/>
        </w:rPr>
        <w:t>below, any Lender may assign to one or more assignees (“</w:t>
      </w:r>
      <w:r>
        <w:rPr>
          <w:rFonts w:ascii="Times New Roman" w:hAnsi="Times New Roman"/>
          <w:color w:val="000000"/>
          <w:sz w:val="22"/>
          <w:u w:val="single"/>
        </w:rPr>
        <w:t>Assignees</w:t>
      </w:r>
      <w:r>
        <w:rPr>
          <w:rFonts w:ascii="Times New Roman" w:hAnsi="Times New Roman"/>
          <w:color w:val="000000"/>
          <w:sz w:val="20"/>
        </w:rPr>
        <w:t>”</w:t>
      </w:r>
      <w:r>
        <w:rPr>
          <w:rFonts w:ascii="Times New Roman" w:hAnsi="Times New Roman"/>
          <w:color w:val="000000"/>
          <w:sz w:val="22"/>
        </w:rPr>
        <w:t xml:space="preserve">) all or a portion of its rights and obligations under this Agreement (including all or a portion of its Commitment and the Loans (including for purposes of this </w:t>
      </w:r>
      <w:r>
        <w:rPr>
          <w:rFonts w:ascii="Times New Roman" w:hAnsi="Times New Roman"/>
          <w:color w:val="000000"/>
          <w:sz w:val="22"/>
          <w:u w:val="single"/>
        </w:rPr>
        <w:t>Section 10.07(b)</w:t>
      </w:r>
      <w:r>
        <w:rPr>
          <w:rFonts w:ascii="Times New Roman" w:hAnsi="Times New Roman"/>
          <w:color w:val="000000"/>
          <w:sz w:val="22"/>
        </w:rPr>
        <w:t>, participations in L/C Obligations and in Swing Line Loans) at the time owing to it) with the prior written consent (such consent not to be unreasonably withheld or delayed) of:</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(A) the Borrower;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no consent of the Borrower shall be required for an assignment (1) of any Term Loan to any other Lender, any Affiliate of a Lender or any Approved Fund, (2) of any Revolving Loan or Revolving Commitment to any other Lender, any Affiliate of a Lender or any Approved Fund of the assigning Lender or (3) if a Specified Event of Default has occurred and is continuing, to any Assignee and (II) the Borrower shall be deemed to have consented to any such assignment of any Term Loan unless it shall object thereto by written notice to the Administrative Agent within fifteen (15) Business Days after the date the Borrower has received notice thereof;</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(B) the Administrative Agent;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consent of the Administrative Agent shall be required for an assignment of all or any portion of a Term Loan to another Lender, an Affiliate of a Lender or an Approved Fund; and</w:t>
      </w:r>
      <w:r>
        <w:rPr>
          <w:rFonts w:ascii="Times New Roman" w:hAnsi="Times New Roman"/>
          <w:color w:val="000000"/>
          <w:sz w:val="20"/>
        </w:rPr>
        <w:t xml:space="preserve"> </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(C) in the case of any assignment of any of the Revolving Credit Facility other than to an Approved Fund of the assigning Lender, each L/C Issuer and each Swing Line Lender.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Assignments shall be subject to the following additional conditions:</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$2,000,000 (in the case of the Revolving Credit Facility), $1,000,000 (in the case of a Term Loan) unless the Borrower and the Administrative Agent otherwise consent;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(1) no such consent of the Borrower shall be required if a Specified Event of Default has occurred and is continuing and (2) such amounts shall be aggregated in respect of each Lender and its Affiliates or Approved Funds, if any;</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(B) the parties to each assignment shall execute and deliver to the Administrative Agent an Assignment and Assumption;</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(C) (1) the Assignee, if it shall not be a Lender, shall deliver to the Administrative Agent an Administrative Questionnaire and any documentation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2160" w:right="0" w:hanging="0"/>
        <w:jc w:val="both"/>
        <w:rPr>
          <w:rFonts w:ascii="Times New Roman" w:hAnsi="Times New Roman"/>
          <w:sz w:val="20"/>
        </w:rPr>
      </w:pPr>
      <w:r>
        <w:rPr>
          <w:rFonts w:ascii="Times New Roman" w:hAnsi="Times New Roman"/>
          <w:color w:val="000000"/>
          <w:sz w:val="22"/>
        </w:rPr>
        <w:t xml:space="preserve">required by </w:t>
      </w:r>
      <w:r>
        <w:rPr>
          <w:rFonts w:ascii="Times New Roman" w:hAnsi="Times New Roman"/>
          <w:color w:val="000000"/>
          <w:sz w:val="22"/>
          <w:u w:val="single"/>
        </w:rPr>
        <w:t>Section 3.01(f)</w:t>
      </w:r>
      <w:r>
        <w:rPr>
          <w:rFonts w:ascii="Times New Roman" w:hAnsi="Times New Roman"/>
          <w:color w:val="000000"/>
          <w:sz w:val="20"/>
        </w:rPr>
        <w:t xml:space="preserve"> </w:t>
      </w:r>
      <w:r>
        <w:rPr>
          <w:rFonts w:ascii="Times New Roman" w:hAnsi="Times New Roman"/>
          <w:color w:val="000000"/>
          <w:sz w:val="22"/>
        </w:rPr>
        <w:t xml:space="preserve">and (2) the Assignee shall have delivered to the Administrative Agent all documentation and other information that the Administrative Agent reasonably requests in order to comply with its ongoing obligations under applicable “know your customer”, and anti-money laundering rules and regulations, including the USA </w:t>
      </w:r>
      <w:r>
        <w:rPr>
          <w:rFonts w:ascii="Times New Roman" w:hAnsi="Times New Roman"/>
          <w:caps/>
          <w:color w:val="000000"/>
          <w:sz w:val="22"/>
        </w:rPr>
        <w:t>Patriot</w:t>
      </w:r>
      <w:r>
        <w:rPr>
          <w:rFonts w:ascii="Times New Roman" w:hAnsi="Times New Roman"/>
          <w:color w:val="000000"/>
          <w:sz w:val="20"/>
        </w:rPr>
        <w:t xml:space="preserve"> </w:t>
      </w:r>
      <w:r>
        <w:rPr>
          <w:rFonts w:ascii="Times New Roman" w:hAnsi="Times New Roman"/>
          <w:color w:val="000000"/>
          <w:sz w:val="22"/>
        </w:rPr>
        <w:t>Act;</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 xml:space="preserve">(D) the Assignee shall not be a natural person, or a Disqualified Lender (and such Assignee shall be required to represent that it is not a Disqualified Lender or an Affiliate of a Disqualified Lender that would constitute a Disqualified Lender but for the fact that it is not readily identifiable as such on the basis of its name);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whether a prospective assignee is a Disqualified Lender may be communicated to a Lender upon request but the list of Disqualified Lenders shall not be posted or otherwise distributed or available to any Lender;</w:t>
      </w:r>
    </w:p>
    <w:p>
      <w:pPr>
        <w:pStyle w:val="TextBody"/>
        <w:bidi w:val="0"/>
        <w:spacing w:before="0" w:after="240"/>
        <w:ind w:left="2160" w:right="0" w:firstLine="720"/>
        <w:jc w:val="both"/>
        <w:rPr>
          <w:rFonts w:ascii="Times New Roman" w:hAnsi="Times New Roman"/>
          <w:sz w:val="20"/>
        </w:rPr>
      </w:pPr>
      <w:r>
        <w:rPr>
          <w:rFonts w:ascii="Times New Roman" w:hAnsi="Times New Roman"/>
          <w:color w:val="000000"/>
          <w:sz w:val="22"/>
        </w:rPr>
        <w:t>(E) the Assignee shall not be a Defaulting Lender;</w:t>
      </w:r>
      <w:r>
        <w:rPr>
          <w:rFonts w:ascii="Times New Roman" w:hAnsi="Times New Roman"/>
          <w:color w:val="000000"/>
          <w:sz w:val="20"/>
        </w:rPr>
        <w:t xml:space="preserve"> </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(F) [reserved]; and</w:t>
      </w:r>
    </w:p>
    <w:p>
      <w:pPr>
        <w:pStyle w:val="TextBody"/>
        <w:bidi w:val="0"/>
        <w:spacing w:before="0" w:after="240"/>
        <w:ind w:left="2160" w:right="0" w:firstLine="720"/>
        <w:jc w:val="both"/>
        <w:rPr>
          <w:rFonts w:ascii="Times New Roman" w:hAnsi="Times New Roman"/>
          <w:color w:val="000000"/>
          <w:sz w:val="22"/>
        </w:rPr>
      </w:pPr>
      <w:r>
        <w:rPr>
          <w:rFonts w:ascii="Times New Roman" w:hAnsi="Times New Roman"/>
          <w:color w:val="000000"/>
          <w:sz w:val="22"/>
        </w:rPr>
        <w:t>(G) the Assignee shall not be the Borrower or any of its Affiliates or a Permitted Holder.</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This </w:t>
      </w:r>
      <w:r>
        <w:rPr>
          <w:rFonts w:ascii="Times New Roman" w:hAnsi="Times New Roman"/>
          <w:color w:val="000000"/>
          <w:sz w:val="22"/>
          <w:u w:val="single"/>
        </w:rPr>
        <w:t>paragraph (b)</w:t>
      </w:r>
      <w:r>
        <w:rPr>
          <w:rFonts w:ascii="Times New Roman" w:hAnsi="Times New Roman"/>
          <w:color w:val="000000"/>
          <w:sz w:val="20"/>
        </w:rPr>
        <w:t xml:space="preserve"> </w:t>
      </w:r>
      <w:r>
        <w:rPr>
          <w:rFonts w:ascii="Times New Roman" w:hAnsi="Times New Roman"/>
          <w:color w:val="000000"/>
          <w:sz w:val="22"/>
        </w:rPr>
        <w:t>shall not prohibit any Lender from assigning all or a portion of its rights and obligations among separate Facilities on a non-pro rata basis.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(c) Subject to acceptance and recording thereof by the Administrative Agent pursuant to </w:t>
      </w:r>
      <w:r>
        <w:rPr>
          <w:rFonts w:ascii="Times New Roman" w:hAnsi="Times New Roman"/>
          <w:color w:val="000000"/>
          <w:sz w:val="22"/>
          <w:u w:val="single"/>
        </w:rPr>
        <w:t>Section 10.07(d)</w:t>
      </w:r>
      <w:r>
        <w:rPr>
          <w:rFonts w:ascii="Times New Roman" w:hAnsi="Times New Roman"/>
          <w:color w:val="000000"/>
          <w:sz w:val="20"/>
        </w:rPr>
        <w:t xml:space="preserve"> </w:t>
      </w:r>
      <w:r>
        <w:rPr>
          <w:rFonts w:ascii="Times New Roman" w:hAnsi="Times New Roman"/>
          <w:color w:val="000000"/>
          <w:sz w:val="22"/>
        </w:rPr>
        <w:t>and receipt by the Administrative Agent from the parties to each assignment of a processing and recordation fee of $3,500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(x) the Administrative Agent may, in its sole discretion, elect to waive such processing and recordation fee in the case of any assignment and (y) such processing and recordation fee shall not be payable in the case of assignments by any Affiliate of the Lead Arranger),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3.03</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2"/>
        </w:rPr>
        <w:t xml:space="preserve">, </w:t>
      </w:r>
      <w:r>
        <w:rPr>
          <w:rFonts w:ascii="Times New Roman" w:hAnsi="Times New Roman"/>
          <w:color w:val="000000"/>
          <w:sz w:val="22"/>
          <w:u w:val="single"/>
        </w:rPr>
        <w:t>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Upon request, and the surrender by the assigning Lender of its Note (if any), the Borrower (at their expense) shall execute and deliver a Note to the assignee Lender. Any assignment or transfer by a Lender of rights or obligations under this Agreement that does not comply with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shall be treated for purposes of this Agreement as a sale by such Lender of a participation in such rights and obligations in accordance with </w:t>
      </w:r>
      <w:r>
        <w:rPr>
          <w:rFonts w:ascii="Times New Roman" w:hAnsi="Times New Roman"/>
          <w:color w:val="000000"/>
          <w:sz w:val="22"/>
          <w:u w:val="single"/>
        </w:rPr>
        <w:t>Section 10.07(e)</w:t>
      </w:r>
      <w:r>
        <w:rPr>
          <w:rFonts w:ascii="Times New Roman" w:hAnsi="Times New Roman"/>
          <w:color w:val="000000"/>
          <w:sz w:val="22"/>
        </w:rPr>
        <w:t xml:space="preserve">. For greater certainty, any assignment by a Lender pursuant to this </w:t>
      </w:r>
      <w:r>
        <w:rPr>
          <w:rFonts w:ascii="Times New Roman" w:hAnsi="Times New Roman"/>
          <w:color w:val="000000"/>
          <w:sz w:val="22"/>
          <w:u w:val="single"/>
        </w:rPr>
        <w:t>Section 10.07</w:t>
      </w:r>
      <w:r>
        <w:rPr>
          <w:rFonts w:ascii="Times New Roman" w:hAnsi="Times New Roman"/>
          <w:color w:val="000000"/>
          <w:sz w:val="20"/>
        </w:rPr>
        <w:t xml:space="preserve"> </w:t>
      </w:r>
      <w:r>
        <w:rPr>
          <w:rFonts w:ascii="Times New Roman" w:hAnsi="Times New Roman"/>
          <w:color w:val="000000"/>
          <w:sz w:val="22"/>
        </w:rPr>
        <w:t>shall not in any way constitute or be deemed to constitute a novation, discharge, recession, extinguishment or substitution of the existing Indebtedness and any Indebtedness so assigned shall continue to be the same obligation and not a new obligations.</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(d) 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2"/>
        </w:rPr>
        <w:t xml:space="preserve">Loans, L/C Obligations (specifying the Unreimbursed Amounts), L/C Borrowings and amounts due under </w:t>
      </w:r>
      <w:r>
        <w:rPr>
          <w:rFonts w:ascii="Times New Roman" w:hAnsi="Times New Roman"/>
          <w:color w:val="000000"/>
          <w:sz w:val="22"/>
          <w:u w:val="single"/>
        </w:rPr>
        <w:t>Section 2.04</w:t>
      </w:r>
      <w:r>
        <w:rPr>
          <w:rFonts w:ascii="Times New Roman" w:hAnsi="Times New Roman"/>
          <w:color w:val="000000"/>
          <w:sz w:val="22"/>
        </w:rPr>
        <w:t>,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The entries in the Register shall be conclusive, absent demonstrable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any Lender (with respect to its own interests only), at any reasonable time and from time to time upon reasonable prior written notice.</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(e) Any Lender may at any time, without the consent of, or notice to, the Borrower, any L/C Issuer or the Administrative Agent, sell participations to any Person (other than a natural person or, so long as whether a prospective participant is a Disqualified Lenders has been communicated to a Lender upon request, a Disqualified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the list of Disqualified Lenders shall not be posted or otherwise distributed or available to any Lender (each, a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the other Loan Documents;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agreement or instrument may provide that such Lender will not, without the consent of the Participant, agree to any amendment, waiver or other modification described in </w:t>
      </w:r>
      <w:r>
        <w:rPr>
          <w:rFonts w:ascii="Times New Roman" w:hAnsi="Times New Roman"/>
          <w:color w:val="000000"/>
          <w:sz w:val="22"/>
          <w:u w:val="single"/>
        </w:rPr>
        <w:t>Section 10.01(a)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2"/>
        </w:rPr>
        <w:t xml:space="preserve">,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that directly affects such Participant. Subject to </w:t>
      </w:r>
      <w:r>
        <w:rPr>
          <w:rFonts w:ascii="Times New Roman" w:hAnsi="Times New Roman"/>
          <w:color w:val="000000"/>
          <w:sz w:val="22"/>
          <w:u w:val="single"/>
        </w:rPr>
        <w:t>Section 10.07(f)</w:t>
      </w:r>
      <w:r>
        <w:rPr>
          <w:rFonts w:ascii="Times New Roman" w:hAnsi="Times New Roman"/>
          <w:color w:val="000000"/>
          <w:sz w:val="22"/>
        </w:rPr>
        <w:t xml:space="preserve">, the Borrower agrees that each Participant shall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(through the applicable Lender), subject to the requirements and limitations of such Sections (including </w:t>
      </w:r>
      <w:r>
        <w:rPr>
          <w:rFonts w:ascii="Times New Roman" w:hAnsi="Times New Roman"/>
          <w:color w:val="000000"/>
          <w:sz w:val="22"/>
          <w:u w:val="single"/>
        </w:rPr>
        <w:t>Section 3.01(f)</w:t>
      </w:r>
      <w:r>
        <w:rPr>
          <w:rFonts w:ascii="Times New Roman" w:hAnsi="Times New Roman"/>
          <w:color w:val="000000"/>
          <w:sz w:val="22"/>
        </w:rPr>
        <w:t xml:space="preserve">) and </w:t>
      </w:r>
      <w:r>
        <w:rPr>
          <w:rFonts w:ascii="Times New Roman" w:hAnsi="Times New Roman"/>
          <w:color w:val="000000"/>
          <w:sz w:val="22"/>
          <w:u w:val="single"/>
        </w:rPr>
        <w:t>Sections 3.05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3.06</w:t>
      </w:r>
      <w:r>
        <w:rPr>
          <w:rFonts w:ascii="Times New Roman" w:hAnsi="Times New Roman"/>
          <w:color w:val="000000"/>
          <w:sz w:val="22"/>
        </w:rPr>
        <w:t xml:space="preserve">, to the same extent as if it were a Lender and had acquired its interest by assignment pursuant to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 xml:space="preserve">(provided that any documentation required to be provided under </w:t>
      </w:r>
      <w:r>
        <w:rPr>
          <w:rFonts w:ascii="Times New Roman" w:hAnsi="Times New Roman"/>
          <w:color w:val="000000"/>
          <w:sz w:val="22"/>
          <w:u w:val="single"/>
        </w:rPr>
        <w:t>Section 3.01(f)</w:t>
      </w:r>
      <w:r>
        <w:rPr>
          <w:rFonts w:ascii="Times New Roman" w:hAnsi="Times New Roman"/>
          <w:color w:val="000000"/>
          <w:sz w:val="20"/>
        </w:rPr>
        <w:t xml:space="preserve"> </w:t>
      </w:r>
      <w:r>
        <w:rPr>
          <w:rFonts w:ascii="Times New Roman" w:hAnsi="Times New Roman"/>
          <w:color w:val="000000"/>
          <w:sz w:val="22"/>
        </w:rPr>
        <w:t xml:space="preserve">shall be provided solely to the participating Lender). To the extent permitted by applicable Law, each Participant also shall be entitled to the benefits of </w:t>
      </w:r>
      <w:r>
        <w:rPr>
          <w:rFonts w:ascii="Times New Roman" w:hAnsi="Times New Roman"/>
          <w:color w:val="000000"/>
          <w:sz w:val="22"/>
          <w:u w:val="single"/>
        </w:rPr>
        <w:t>Section 10.09</w:t>
      </w:r>
      <w:r>
        <w:rPr>
          <w:rFonts w:ascii="Times New Roman" w:hAnsi="Times New Roman"/>
          <w:color w:val="000000"/>
          <w:sz w:val="20"/>
        </w:rPr>
        <w:t xml:space="preserve"> </w:t>
      </w:r>
      <w:r>
        <w:rPr>
          <w:rFonts w:ascii="Times New Roman" w:hAnsi="Times New Roman"/>
          <w:color w:val="000000"/>
          <w:sz w:val="22"/>
        </w:rPr>
        <w:t xml:space="preserve">as though it were a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such Participant agrees to be subject to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as though it were a Lender. Any Lender that sells participations shall maintain a register on which it enters the name and the address of each Participant and the principal amounts and related interest amounts of each Participant’s participation interest in the Commitments and/or Loans (or other rights or obligations) held by it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The entries in the Participant Register shall be conclusive, absent demonstrable error, and such Lender shall treat each person whose name is recorded in the Participant Register as the owner of such participation interest as the owner thereof for all purposes notwithstanding any notice to the contrary. In maintaining the Participant Register, such Lender shall be acting as the non-fiduciary agent of the Borrower solely for this purpose and undertakes no duty, responsibility or obligation to the Borrower (without limitation, in no event shall such Lender be a fiduciary of the Borrower for any purpose). No Lender shall have any obligation to disclose all or any portion of a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 or, if different, under Sections 871(h) or 881(c) of the Code.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(f) A Participant shall not be entitled to receive any greater payment under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3.03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than the applicable Lender would have been entitled to receive with respect to the participation sold to such Participant, unless the sale of the participation to such Participant is made with the Borrower’s prior written consent or except to the extent such entitlement to a greater payment results from a Change in Law after such Participant became a Participant. Each Participant agrees to be subject to the provisions of </w:t>
      </w:r>
      <w:r>
        <w:rPr>
          <w:rFonts w:ascii="Times New Roman" w:hAnsi="Times New Roman"/>
          <w:color w:val="000000"/>
          <w:sz w:val="22"/>
          <w:u w:val="single"/>
        </w:rPr>
        <w:t>Section 3.06</w:t>
      </w:r>
      <w:r>
        <w:rPr>
          <w:rFonts w:ascii="Times New Roman" w:hAnsi="Times New Roman"/>
          <w:color w:val="000000"/>
          <w:sz w:val="20"/>
        </w:rPr>
        <w:t xml:space="preserve"> </w:t>
      </w:r>
      <w:r>
        <w:rPr>
          <w:rFonts w:ascii="Times New Roman" w:hAnsi="Times New Roman"/>
          <w:color w:val="000000"/>
          <w:sz w:val="22"/>
        </w:rPr>
        <w:t xml:space="preserve">as if it were a Lender and had acquired its interest by assignment pursuant to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 xml:space="preserve">and each Lender that sells a participation agrees, at the Borrower’s request and expense, to use reasonable efforts to cooperate with the Borrower to effectuate the provisions of </w:t>
      </w:r>
      <w:r>
        <w:rPr>
          <w:rFonts w:ascii="Times New Roman" w:hAnsi="Times New Roman"/>
          <w:color w:val="000000"/>
          <w:sz w:val="22"/>
          <w:u w:val="single"/>
        </w:rPr>
        <w:t>Section 3.06</w:t>
      </w:r>
      <w:r>
        <w:rPr>
          <w:rFonts w:ascii="Times New Roman" w:hAnsi="Times New Roman"/>
          <w:color w:val="000000"/>
          <w:sz w:val="20"/>
        </w:rPr>
        <w:t xml:space="preserve"> </w:t>
      </w:r>
      <w:r>
        <w:rPr>
          <w:rFonts w:ascii="Times New Roman" w:hAnsi="Times New Roman"/>
          <w:color w:val="000000"/>
          <w:sz w:val="22"/>
        </w:rPr>
        <w:t>with respect to any Participant.</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(g) Any Lender may at any time pledge or assign a security interest in all or any portion of its rights under this Agreement (including under its Note, if any) to secure obligations of such Lender, including any pledge or assignment to secure obligations to a Federal Reserve Bank or other central bank;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no such pledge or assignment shall release such Lender from any of its obligations hereunder or substitute any such pledgee or assignee for such Lender as a party hereto.</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(h) Notwithstanding anything to the contrary contained herein, any Lender (a “</w:t>
      </w:r>
      <w:r>
        <w:rPr>
          <w:rFonts w:ascii="Times New Roman" w:hAnsi="Times New Roman"/>
          <w:color w:val="000000"/>
          <w:sz w:val="22"/>
          <w:u w:val="single"/>
        </w:rPr>
        <w:t>Granting Lender</w:t>
      </w:r>
      <w:r>
        <w:rPr>
          <w:rFonts w:ascii="Times New Roman" w:hAnsi="Times New Roman"/>
          <w:color w:val="000000"/>
          <w:sz w:val="20"/>
        </w:rPr>
        <w:t>”</w:t>
      </w:r>
      <w:r>
        <w:rPr>
          <w:rFonts w:ascii="Times New Roman" w:hAnsi="Times New Roman"/>
          <w:color w:val="000000"/>
          <w:sz w:val="22"/>
        </w:rPr>
        <w:t>) may grant to a special purpose funding vehicle identified as such in writing from time to time by the Granting Lender to the Administrative Agent and the Borrower (an “</w:t>
      </w:r>
      <w:r>
        <w:rPr>
          <w:rFonts w:ascii="Times New Roman" w:hAnsi="Times New Roman"/>
          <w:color w:val="000000"/>
          <w:sz w:val="22"/>
          <w:u w:val="single"/>
        </w:rPr>
        <w:t>SPC</w:t>
      </w:r>
      <w:r>
        <w:rPr>
          <w:rFonts w:ascii="Times New Roman" w:hAnsi="Times New Roman"/>
          <w:color w:val="000000"/>
          <w:sz w:val="20"/>
        </w:rPr>
        <w:t>”</w:t>
      </w:r>
      <w:r>
        <w:rPr>
          <w:rFonts w:ascii="Times New Roman" w:hAnsi="Times New Roman"/>
          <w:color w:val="000000"/>
          <w:sz w:val="22"/>
        </w:rPr>
        <w:t xml:space="preserve">) the option to provide all or any part of any Loan that such Granting Lender would otherwise be obligated to make pursuant to this Agreement;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an SPC shall be entitled to the benefit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3.04</w:t>
      </w:r>
      <w:r>
        <w:rPr>
          <w:rFonts w:ascii="Times New Roman" w:hAnsi="Times New Roman"/>
          <w:color w:val="000000"/>
          <w:sz w:val="22"/>
        </w:rPr>
        <w:t xml:space="preserve">, subject to the requirements and limitations of such Sections (including </w:t>
      </w:r>
      <w:r>
        <w:rPr>
          <w:rFonts w:ascii="Times New Roman" w:hAnsi="Times New Roman"/>
          <w:color w:val="000000"/>
          <w:sz w:val="22"/>
          <w:u w:val="single"/>
        </w:rPr>
        <w:t>Section 3.01(e)</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Sections 3.05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3.06</w:t>
      </w:r>
      <w:r>
        <w:rPr>
          <w:rFonts w:ascii="Times New Roman" w:hAnsi="Times New Roman"/>
          <w:color w:val="000000"/>
          <w:sz w:val="22"/>
        </w:rPr>
        <w:t xml:space="preserve">), to the same extent as if such SPC were a Lender, but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3.03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3.04</w:t>
      </w:r>
      <w:r>
        <w:rPr>
          <w:rFonts w:ascii="Times New Roman" w:hAnsi="Times New Roman"/>
          <w:color w:val="000000"/>
          <w:sz w:val="22"/>
        </w:rPr>
        <w:t>) except to the extent any entitlement to greater amounts results from a Change in Law after the grant to the SPC occurred, (ii) no SPC shall be liable for any indemnity or similar payment obligation under this Agreement for which a Lender would be liable and such liability shall remain with the Granting Lender,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Notwithstanding anything to the contrary contained herein, any SPC may (i) with notice to, but without prior consent of the Borrower and the Administrative Agent,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Obligation or credit or liquidity enhancement to such SPC.</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(i) Notwithstanding anything to the contrary contained herein, (a) (1) any Lender may in accordance with applicable Law create a security interest in all or any portion of the Loans owing to it and the Note, if any, held by it and (2)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unless and until such trustee actually becomes a Lender in compliance with the other provisions of this </w:t>
      </w:r>
      <w:r>
        <w:rPr>
          <w:rFonts w:ascii="Times New Roman" w:hAnsi="Times New Roman"/>
          <w:color w:val="000000"/>
          <w:sz w:val="22"/>
          <w:u w:val="single"/>
        </w:rPr>
        <w:t>Section 10.07</w:t>
      </w:r>
      <w:r>
        <w:rPr>
          <w:rFonts w:ascii="Times New Roman" w:hAnsi="Times New Roman"/>
          <w:color w:val="000000"/>
          <w:sz w:val="22"/>
        </w:rPr>
        <w:t>, (i) no such pledge shall release the pledging Lender from any of</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sz w:val="20"/>
        </w:rPr>
      </w:pPr>
      <w:bookmarkStart w:id="58" w:name="docxtextref1854"/>
      <w:bookmarkEnd w:id="58"/>
      <w:r>
        <w:rPr>
          <w:rFonts w:ascii="Times New Roman" w:hAnsi="Times New Roman"/>
          <w:color w:val="000000"/>
          <w:sz w:val="22"/>
        </w:rPr>
        <w:t>its obligations under the Loan Documents and (ii) such trustee shall not be entitled to exercise any of the rights of a Lender under the Loan Documents even though such trustee may have acquired ownership rights with respect to the pledged interest through foreclosure or otherwise and (b) any Lender may in accordance with applicable Law assign its rights to any Person in such Person’s capacity as (I)</w:t>
      </w:r>
      <w:r>
        <w:rPr>
          <w:rFonts w:ascii="Times New Roman" w:hAnsi="Times New Roman"/>
          <w:color w:val="000000"/>
          <w:sz w:val="20"/>
        </w:rPr>
        <w:t xml:space="preserve"> </w:t>
      </w:r>
      <w:r>
        <w:rPr>
          <w:rFonts w:ascii="Times New Roman" w:hAnsi="Times New Roman"/>
          <w:color w:val="000000"/>
          <w:sz w:val="22"/>
        </w:rPr>
        <w:t>trustee or custodian holding assets for the satisfaction of the obligations of any Initial Lender (or any affiliate of any Initial Lender) pursuant to a reinsurance arrangement or (II) as counterparty to a reinsurance arrangement with any Initial Lender (or any affiliate of any Initial Lender).</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 xml:space="preserve">(j) Notwithstanding anything to the contrary contained herein, any L/C Issuer or any Swing Line Lender may, upon thirty (30) days’ notice to the Borrower and the Lenders, resign as an L/C Issuer or as a Swing Line Lender, respectively;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on or prior to the expiration of such 30-day period with respect to such resignation, the relevant L/C Issuer or Swing Line Lender shall have identified, in consultation with the Borrower, a successor L/C Issuer willing to accept its appointment as successor L/C Issuer or Swing Line Lender, as applicable. In the event of any such resignation of an L/C Issuer or a Swing Line Lender, the Borrower shall be entitled to appoint from among the Lenders willing to accept such appointment a successor L/C Issuer or Swing Line Lender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xml:space="preserve">, no failure by the Borrower to appoint any such successor shall affect the resignation of the relevant L/C Issuer. If an L/C Issuer resigns as an L/C Issuer, it shall retain all the rights and obligations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 w:hAnsi="Times New Roman"/>
          <w:color w:val="000000"/>
          <w:sz w:val="22"/>
          <w:u w:val="single"/>
        </w:rPr>
        <w:t>Section 2.03(c)</w:t>
      </w:r>
      <w:r>
        <w:rPr>
          <w:rFonts w:ascii="Times New Roman" w:hAnsi="Times New Roman"/>
          <w:color w:val="000000"/>
          <w:sz w:val="22"/>
        </w:rPr>
        <w:t xml:space="preser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hAnsi="Times New Roman"/>
          <w:color w:val="000000"/>
          <w:sz w:val="22"/>
          <w:u w:val="single"/>
        </w:rPr>
        <w:t>Section 2.04(c)</w:t>
      </w:r>
      <w:r>
        <w:rPr>
          <w:rFonts w:ascii="Times New Roman" w:hAnsi="Times New Roman"/>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(k) No Agent-Related Person shall be responsible or have any liability for, or have any duty to ascertain, inquire into, monitor or enforce, compliance with the provisions hereof relating to Disqualified Lenders; further, without limiting the generality of the foregoing clause, no Agent-Related Person shall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10.08 </w:t>
      </w:r>
      <w:r>
        <w:rPr>
          <w:rFonts w:ascii="Times New Roman" w:hAnsi="Times New Roman"/>
          <w:b w:val="false"/>
          <w:color w:val="000000"/>
          <w:sz w:val="22"/>
          <w:u w:val="single"/>
        </w:rPr>
        <w:t>Confidentiality</w:t>
      </w:r>
      <w:r>
        <w:rPr>
          <w:rFonts w:ascii="Times New Roman" w:hAnsi="Times New Roman"/>
          <w:b w:val="false"/>
          <w:color w:val="000000"/>
          <w:sz w:val="22"/>
        </w:rPr>
        <w:t xml:space="preserve">. Each of the Agents and the Lenders agrees to maintain the confidentiality of the Information and to not use or disclose such information, except that Information may be disclosed (a) to its Affiliates and its and its Affiliates’ partners, directors, officers, employees, managers, administrators, limited partners, trustees, investment advisors, professionals and other experts or agents, including accountants, legal counsel, CUSIP bureau independent auditors and other advisors (it being understood that the Persons to whom such disclosure is made will be informed of the confidential nature of such Information and instructed to keep such Information confidential); (b) to the extent requested by any Governmental Authority, to any pledgee referred to in </w:t>
      </w:r>
      <w:r>
        <w:rPr>
          <w:rFonts w:ascii="Times New Roman" w:hAnsi="Times New Roman"/>
          <w:b w:val="false"/>
          <w:color w:val="000000"/>
          <w:sz w:val="22"/>
          <w:u w:val="single"/>
        </w:rPr>
        <w:t>Section 10.07(g)</w:t>
      </w:r>
      <w:r>
        <w:rPr>
          <w:rFonts w:ascii="Times New Roman" w:hAnsi="Times New Roman"/>
          <w:b w:val="false"/>
          <w:color w:val="000000"/>
          <w:sz w:val="22"/>
        </w:rPr>
        <w:t xml:space="preserve">; (c) to the extent required by applicable Laws or regulations or by any subpoena or similar legal process; (d) to any other party to this Agreement; (e) subject to an agreement containing provisions substantially the same as those of this </w:t>
      </w:r>
      <w:r>
        <w:rPr>
          <w:rFonts w:ascii="Times New Roman" w:hAnsi="Times New Roman"/>
          <w:b w:val="false"/>
          <w:color w:val="000000"/>
          <w:sz w:val="22"/>
          <w:u w:val="single"/>
        </w:rPr>
        <w:t>Section 10.08</w:t>
      </w:r>
      <w:r>
        <w:rPr>
          <w:rFonts w:ascii="Times New Roman" w:hAnsi="Times New Roman"/>
          <w:color w:val="000000"/>
          <w:sz w:val="20"/>
        </w:rPr>
        <w:t xml:space="preserve"> </w:t>
      </w:r>
      <w:r>
        <w:rPr>
          <w:rFonts w:ascii="Times New Roman" w:hAnsi="Times New Roman"/>
          <w:b w:val="false"/>
          <w:color w:val="000000"/>
          <w:sz w:val="22"/>
        </w:rPr>
        <w:t xml:space="preserve">(or as may otherwise be reasonably acceptable to the Borrower), to any pledgee referred to in </w:t>
      </w:r>
      <w:r>
        <w:rPr>
          <w:rFonts w:ascii="Times New Roman" w:hAnsi="Times New Roman"/>
          <w:b w:val="false"/>
          <w:color w:val="000000"/>
          <w:sz w:val="22"/>
          <w:u w:val="single"/>
        </w:rPr>
        <w:t>Section 10.07(i</w:t>
      </w:r>
      <w:r>
        <w:rPr>
          <w:rFonts w:ascii="Times New Roman" w:hAnsi="Times New Roman"/>
          <w:b w:val="false"/>
          <w:color w:val="000000"/>
          <w:sz w:val="22"/>
        </w:rPr>
        <w:t xml:space="preserve">), actual or potential counterparty to a Swap Contract, Eligible Assignee of or Participant in, or any prospective Eligible Assignee of or Participant in, any of its rights or obligations under this Agreement; (f) with the written consent of the Borrower; (g) to the extent such Information becomes publicly available other than as a result of a breach of this </w:t>
      </w:r>
      <w:r>
        <w:rPr>
          <w:rFonts w:ascii="Times New Roman" w:hAnsi="Times New Roman"/>
          <w:b w:val="false"/>
          <w:color w:val="000000"/>
          <w:sz w:val="22"/>
          <w:u w:val="single"/>
        </w:rPr>
        <w:t>Section 10.08</w:t>
      </w:r>
      <w:r>
        <w:rPr>
          <w:rFonts w:ascii="Times New Roman" w:hAnsi="Times New Roman"/>
          <w:b w:val="false"/>
          <w:color w:val="000000"/>
          <w:sz w:val="22"/>
        </w:rPr>
        <w:t>; (h) to any Governmental Authority or examiner</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regulating any Lender; (i) to any rating agency when required by it (it being understood that, prior to any such disclosure, such rating agency shall undertake to preserve the confidentiality of any Information relating to the Loan Parties received by it from such Lender); (j) in connection with the exercise of any remedies hereunder or under any other Loan Document or any action or proceeding relating to this Agreement or any other Loan Document or the enforcement of rights hereunder or thereunder; (k) to the extent that such Information is received by such Lender or any of its Affiliates from a third party that is not, to such Lender’s knowledge, subject to any contractual or fiduciary confidentiality obligations owing to the Borrower or any of their Affiliates; (l) to the extent that such Information is independently developed by such Lender or any of its Affiliates, (m) to the extent consisting of customary disclosure regarding portfolio holdings in any public filing by such Lender or (n) upon the request or demand of any Governmental Authority or other regulatory authority having jurisdiction over the Agent or Lenders, as applicable, (in which case the Agent or Lenders, as applicable, agree (except with respect to any audit or examination conducted by bank accountants or any regulatory authority exercising examination or regulatory authority), to the extent practicable and not prohibited by applicable law, rule or regulation, to inform the Borrower promptly thereof prior to disclosure).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For the purposes of this </w:t>
      </w:r>
      <w:r>
        <w:rPr>
          <w:rFonts w:ascii="Times New Roman" w:hAnsi="Times New Roman"/>
          <w:b w:val="false"/>
          <w:color w:val="000000"/>
          <w:sz w:val="22"/>
          <w:u w:val="single"/>
        </w:rPr>
        <w:t>Section 10.08</w:t>
      </w:r>
      <w:r>
        <w:rPr>
          <w:rFonts w:ascii="Times New Roman" w:hAnsi="Times New Roman"/>
          <w:b w:val="false"/>
          <w:color w:val="000000"/>
          <w:sz w:val="22"/>
        </w:rPr>
        <w:t>, “</w:t>
      </w:r>
      <w:r>
        <w:rPr>
          <w:rFonts w:ascii="Times New Roman" w:hAnsi="Times New Roman"/>
          <w:b w:val="false"/>
          <w:color w:val="000000"/>
          <w:sz w:val="22"/>
          <w:u w:val="single"/>
        </w:rPr>
        <w:t>Information</w:t>
      </w:r>
      <w:r>
        <w:rPr>
          <w:rFonts w:ascii="Times New Roman" w:hAnsi="Times New Roman"/>
          <w:color w:val="000000"/>
          <w:sz w:val="20"/>
        </w:rPr>
        <w:t xml:space="preserve">” </w:t>
      </w:r>
      <w:r>
        <w:rPr>
          <w:rFonts w:ascii="Times New Roman" w:hAnsi="Times New Roman"/>
          <w:b w:val="false"/>
          <w:color w:val="000000"/>
          <w:sz w:val="22"/>
        </w:rPr>
        <w:t xml:space="preserve">means all information received from any Loan Party or its Affiliates or its Affiliates’ directors, managers, officers, employees, trustees, investment advisors or agents, relating to the Borrower or any of their respective Subsidiaries or their business, other than any such information that is available to any Agent or any Lender on a nonconfidential basis and other than information pertaining to this Agreement routinely provided by arrangers to data service providers, including league table providers, that serve the lending industry prior to disclosure by any Loan Party other than as a result of a breach of this </w:t>
      </w:r>
      <w:r>
        <w:rPr>
          <w:rFonts w:ascii="Times New Roman" w:hAnsi="Times New Roman"/>
          <w:b w:val="false"/>
          <w:color w:val="000000"/>
          <w:sz w:val="22"/>
          <w:u w:val="single"/>
        </w:rPr>
        <w:t>Section 10.08</w:t>
      </w:r>
      <w:r>
        <w:rPr>
          <w:rFonts w:ascii="Times New Roman" w:hAnsi="Times New Roman"/>
          <w:b w:val="false"/>
          <w:color w:val="000000"/>
          <w:sz w:val="22"/>
        </w:rPr>
        <w:t xml:space="preserve">, including, without limitation, information delivered pursuant to </w:t>
      </w:r>
      <w:r>
        <w:rPr>
          <w:rFonts w:ascii="Times New Roman" w:hAnsi="Times New Roman"/>
          <w:b w:val="false"/>
          <w:color w:val="000000"/>
          <w:sz w:val="22"/>
          <w:u w:val="single"/>
        </w:rPr>
        <w:t>Section 6.01</w:t>
      </w:r>
      <w:r>
        <w:rPr>
          <w:rFonts w:ascii="Times New Roman" w:hAnsi="Times New Roman"/>
          <w:b w:val="false"/>
          <w:color w:val="000000"/>
          <w:sz w:val="22"/>
        </w:rPr>
        <w:t xml:space="preserve">, </w:t>
      </w:r>
      <w:r>
        <w:rPr>
          <w:rFonts w:ascii="Times New Roman" w:hAnsi="Times New Roman"/>
          <w:b w:val="false"/>
          <w:color w:val="000000"/>
          <w:sz w:val="22"/>
          <w:u w:val="single"/>
        </w:rPr>
        <w:t>6.02</w:t>
      </w:r>
      <w:r>
        <w:rPr>
          <w:rFonts w:ascii="Times New Roman" w:hAnsi="Times New Roman"/>
          <w:color w:val="000000"/>
          <w:sz w:val="20"/>
        </w:rPr>
        <w:t xml:space="preserve"> </w:t>
      </w:r>
      <w:r>
        <w:rPr>
          <w:rFonts w:ascii="Times New Roman" w:hAnsi="Times New Roman"/>
          <w:b w:val="false"/>
          <w:color w:val="000000"/>
          <w:sz w:val="22"/>
        </w:rPr>
        <w:t xml:space="preserve">or </w:t>
      </w:r>
      <w:r>
        <w:rPr>
          <w:rFonts w:ascii="Times New Roman" w:hAnsi="Times New Roman"/>
          <w:b w:val="false"/>
          <w:color w:val="000000"/>
          <w:sz w:val="22"/>
          <w:u w:val="single"/>
        </w:rPr>
        <w:t>6.03</w:t>
      </w:r>
      <w:r>
        <w:rPr>
          <w:rFonts w:ascii="Times New Roman" w:hAnsi="Times New Roman"/>
          <w:color w:val="000000"/>
          <w:sz w:val="20"/>
        </w:rPr>
        <w:t xml:space="preserve"> </w:t>
      </w:r>
      <w:r>
        <w:rPr>
          <w:rFonts w:ascii="Times New Roman" w:hAnsi="Times New Roman"/>
          <w:b w:val="false"/>
          <w:color w:val="000000"/>
          <w:sz w:val="22"/>
        </w:rPr>
        <w:t>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10.09 </w:t>
      </w:r>
      <w:r>
        <w:rPr>
          <w:rFonts w:ascii="Times New Roman" w:hAnsi="Times New Roman"/>
          <w:b w:val="false"/>
          <w:color w:val="000000"/>
          <w:sz w:val="22"/>
          <w:u w:val="single"/>
        </w:rPr>
        <w:t>Setoff</w:t>
      </w:r>
      <w:r>
        <w:rPr>
          <w:rFonts w:ascii="Times New Roman" w:hAnsi="Times New Roman"/>
          <w:b w:val="false"/>
          <w:color w:val="000000"/>
          <w:sz w:val="22"/>
        </w:rPr>
        <w:t xml:space="preserve">. In addition to any rights and remedies of the Lenders provided by Law, upon the occurrence and during the continuance of any Event of Default, each Agent and its Affiliates, each Lender and its Affiliates and each L/C Issuer and its Affiliates is authorized at any time and from time to time, without prior notice to the Borrower or any other Loan Party, any such notice being waived by the Borrower (on their own behalf and on behalf of each Loan Party and its respective Subsidiaries) to the fullest extent permitted by applicable Law, to set off and apply any and all deposits (general or special, time or demand, provisional or final) at any time held by, and other Indebtedness (in any currency) at any time owing by, such Agent and its Affiliates, such Lender and its Affiliates or such L/C Issuer and its Affiliates, as the case may be, to or for the credit or the account of the respective Loan Parties and their Subsidiaries against any and all Obligations owing to such Agent and its Affiliates, such Lender and its Affiliates or such L/C Issuer and its Affiliates hereunder or under any other Loan Document, now or hereafter existing, irrespective of whether or not such Agent, such Lender, such L/C Issuer or such Affiliate shall have made demand under this Agreement or any other Loan Document and although such Obligations may be contingent or unmatured or denominated in a currency different from that of the applicable deposit or Indebtedness. Notwithstanding anything to the contrary contained herein, none of each Agent and its Affiliates, each Lender and its Affiliates and each L/C Issuer and its Affiliates shall have a right to set off and apply any deposits held or other Indebtedness owing by such Agent or its Affiliates, such Lender or its Affiliates or such L/C Issuer or its Affiliates, as the case may be, to or for the credit or the account of any Subsidiary of a Loan Party that is a Foreign Subsidiary or a Domestic Foreign Holding Company and that is not itself a Loan Party. Each Lender and L/C Issuer agrees promptly to notify the Borrower and the Administrative Agent after any such set off and application made by such Lender or L/C Issuer, as the case may be;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xml:space="preserve">, the failure to give such notice shall not affect the validity of such setoff and application. The rights of each Agent, each Lender and each L/C Issuer under this </w:t>
      </w:r>
      <w:r>
        <w:rPr>
          <w:rFonts w:ascii="Times New Roman" w:hAnsi="Times New Roman"/>
          <w:b w:val="false"/>
          <w:color w:val="000000"/>
          <w:sz w:val="22"/>
          <w:u w:val="single"/>
        </w:rPr>
        <w:t>Section 10.09</w:t>
      </w:r>
      <w:r>
        <w:rPr>
          <w:rFonts w:ascii="Times New Roman" w:hAnsi="Times New Roman"/>
          <w:color w:val="000000"/>
          <w:sz w:val="20"/>
        </w:rPr>
        <w:t xml:space="preserve"> </w:t>
      </w:r>
      <w:r>
        <w:rPr>
          <w:rFonts w:ascii="Times New Roman" w:hAnsi="Times New Roman"/>
          <w:b w:val="false"/>
          <w:color w:val="000000"/>
          <w:sz w:val="22"/>
        </w:rPr>
        <w:t>are in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addition to other rights and remedies (including other rights of setoff) that such Agent, such Lender and such L/C Issuer may have.</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10.10 </w:t>
      </w:r>
      <w:r>
        <w:rPr>
          <w:rFonts w:ascii="Times New Roman" w:hAnsi="Times New Roman"/>
          <w:b w:val="false"/>
          <w:color w:val="000000"/>
          <w:sz w:val="22"/>
          <w:u w:val="single"/>
        </w:rPr>
        <w:t>Counterparts; Electronic Execution</w:t>
      </w:r>
      <w:r>
        <w:rPr>
          <w:rFonts w:ascii="Times New Roman" w:hAnsi="Times New Roman"/>
          <w:b w:val="false"/>
          <w:color w:val="000000"/>
          <w:sz w:val="22"/>
        </w:rPr>
        <w:t xml:space="preserve">. This Agreement and any notices, certificates, resolutions or other documents delivered under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The Administrative Agent reserves the right, in its sole discretion, to accept, deny, or condition acceptance of any electronic signature on this Agreement, or on any notice, certificate, resolutions or other document delivered under this Agreement. This Agreement, and any notices, certificates, resolutions or other documents delivered under this Agreement, may be executed in any number of counterparts and by different parties on separate counterparts, each of which, when executed and delivered, shall be deemed to be an original, and all of which, when taken together, shall constitute but one and the same instrument. Delivery of an executed counterpart of this Agreement, or any notices, certificates, resolutions or other documents delivered under this Agreement, by telefacsimile or other electronic method of transmission shall be equally as effective as delivery of an original executed counterpart of this Agreement, or such notice, certificate, resolutions or other document. Any party delivering an executed counterpart of this Agreement , or any notice, certificate, resolutions or other document under this Agreement, by telefacsimile or other electronic method of transmission also shall deliver an original executed counterpart of this Agreement or such notice, certificate, resolutions or other document, but the failure to deliver an original executed counterpart shall not affect the validity, enforceability, and binding effect of this Agreement or such notice, certificate, resolutions or other document. The foregoing shall apply to each other Loan Document, and any notice, certificate, resolutions or other document delivered hereunder or thereunder, </w:t>
      </w:r>
      <w:r>
        <w:rPr>
          <w:rFonts w:ascii="Times New Roman" w:hAnsi="Times New Roman"/>
          <w:b w:val="false"/>
          <w:i/>
          <w:color w:val="000000"/>
          <w:sz w:val="22"/>
        </w:rPr>
        <w:t>mutatis mutandis</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10.11 </w:t>
      </w:r>
      <w:r>
        <w:rPr>
          <w:rFonts w:ascii="Times New Roman" w:hAnsi="Times New Roman"/>
          <w:b w:val="false"/>
          <w:color w:val="000000"/>
          <w:sz w:val="22"/>
          <w:u w:val="single"/>
        </w:rPr>
        <w:t>Integration</w:t>
      </w:r>
      <w:r>
        <w:rPr>
          <w:rFonts w:ascii="Times New Roman" w:hAnsi="Times New Roman"/>
          <w:b w:val="false"/>
          <w:color w:val="000000"/>
          <w:sz w:val="22"/>
        </w:rPr>
        <w:t xml:space="preserve">. This Agreement, together with the other Loan Documents, the Closing Date Fee Letter and the Fee Letter,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Times New Roman" w:hAnsi="Times New Roman"/>
          <w:b w:val="false"/>
          <w:color w:val="000000"/>
          <w:sz w:val="22"/>
          <w:u w:val="single"/>
        </w:rPr>
        <w:t>provided</w:t>
      </w:r>
      <w:r>
        <w:rPr>
          <w:rFonts w:ascii="Times New Roman" w:hAnsi="Times New Roman"/>
          <w:b w:val="false"/>
          <w:color w:val="000000"/>
          <w:sz w:val="22"/>
        </w:rPr>
        <w:t xml:space="preserve">, </w:t>
      </w:r>
      <w:r>
        <w:rPr>
          <w:rFonts w:ascii="Times New Roman" w:hAnsi="Times New Roman"/>
          <w:b w:val="false"/>
          <w:color w:val="000000"/>
          <w:sz w:val="22"/>
          <w:u w:val="single"/>
        </w:rPr>
        <w:t>that</w:t>
      </w:r>
      <w:r>
        <w:rPr>
          <w:rFonts w:ascii="Times New Roman" w:hAnsi="Times New Roman"/>
          <w:b w:val="false"/>
          <w:color w:val="000000"/>
          <w:sz w:val="22"/>
        </w:rPr>
        <w: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10.12 </w:t>
      </w:r>
      <w:r>
        <w:rPr>
          <w:rFonts w:ascii="Times New Roman" w:hAnsi="Times New Roman"/>
          <w:b w:val="false"/>
          <w:color w:val="000000"/>
          <w:sz w:val="22"/>
          <w:u w:val="single"/>
        </w:rPr>
        <w:t>Survival of Representations and Warranties</w:t>
      </w:r>
      <w:r>
        <w:rPr>
          <w:rFonts w:ascii="Times New Roman" w:hAnsi="Times New Roman"/>
          <w:b w:val="false"/>
          <w:color w:val="000000"/>
          <w:sz w:val="22"/>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The provisions of </w:t>
      </w:r>
      <w:r>
        <w:rPr>
          <w:rFonts w:ascii="Times New Roman" w:hAnsi="Times New Roman"/>
          <w:b w:val="false"/>
          <w:color w:val="000000"/>
          <w:sz w:val="22"/>
          <w:u w:val="single"/>
        </w:rPr>
        <w:t>Sections 10.14</w:t>
      </w:r>
      <w:r>
        <w:rPr>
          <w:rFonts w:ascii="Times New Roman" w:hAnsi="Times New Roman"/>
          <w:color w:val="000000"/>
          <w:sz w:val="20"/>
        </w:rPr>
        <w:t xml:space="preserve"> </w:t>
      </w:r>
      <w:r>
        <w:rPr>
          <w:rFonts w:ascii="Times New Roman" w:hAnsi="Times New Roman"/>
          <w:b w:val="false"/>
          <w:color w:val="000000"/>
          <w:sz w:val="22"/>
        </w:rPr>
        <w:t xml:space="preserve">and </w:t>
      </w:r>
      <w:r>
        <w:rPr>
          <w:rFonts w:ascii="Times New Roman" w:hAnsi="Times New Roman"/>
          <w:b w:val="false"/>
          <w:color w:val="000000"/>
          <w:sz w:val="22"/>
          <w:u w:val="single"/>
        </w:rPr>
        <w:t>10.15</w:t>
      </w:r>
      <w:r>
        <w:rPr>
          <w:rFonts w:ascii="Times New Roman" w:hAnsi="Times New Roman"/>
          <w:color w:val="000000"/>
          <w:sz w:val="20"/>
        </w:rPr>
        <w:t xml:space="preserve"> </w:t>
      </w:r>
      <w:r>
        <w:rPr>
          <w:rFonts w:ascii="Times New Roman" w:hAnsi="Times New Roman"/>
          <w:b w:val="false"/>
          <w:color w:val="000000"/>
          <w:sz w:val="22"/>
        </w:rPr>
        <w:t>shall continue in full force and effect as long as any Loan or any other Obligation hereunder shall remain unpaid or unsatisfied or any Letter of Credit shall remain outstanding.</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10.13 </w:t>
      </w:r>
      <w:r>
        <w:rPr>
          <w:rFonts w:ascii="Times New Roman" w:hAnsi="Times New Roman"/>
          <w:b w:val="false"/>
          <w:color w:val="000000"/>
          <w:sz w:val="22"/>
          <w:u w:val="single"/>
        </w:rPr>
        <w:t>Severability</w:t>
      </w:r>
      <w:r>
        <w:rPr>
          <w:rFonts w:ascii="Times New Roman" w:hAnsi="Times New Roman"/>
          <w:b w:val="false"/>
          <w:color w:val="000000"/>
          <w:sz w:val="22"/>
        </w:rPr>
        <w:t>. If any provision of this Agreement or the other Loan Documents is held to be illegal, invalid or unenforceable, the legality, validity and enforceability of the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remaining provisions of this Agreement and the other Loan Documents shall not be affected or impaired thereby. The invalidity of a provision in a particular jurisdiction shall not invalidate or render unenforceable such provision in any other jurisdiction.</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10.14 </w:t>
      </w:r>
      <w:r>
        <w:rPr>
          <w:rFonts w:ascii="Times New Roman" w:hAnsi="Times New Roman"/>
          <w:b w:val="false"/>
          <w:color w:val="000000"/>
          <w:sz w:val="22"/>
          <w:u w:val="single"/>
        </w:rPr>
        <w:t>GOVERNING LAW, JURISDICTION, SERVICE OF PROCESS</w:t>
      </w:r>
      <w:r>
        <w:rPr>
          <w:rFonts w:ascii="Times New Roman" w:hAnsi="Times New Roman"/>
          <w:b w:val="false"/>
          <w:color w:val="000000"/>
          <w:sz w:val="22"/>
        </w:rPr>
        <w:t>.</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THIS AGREEMENT AND EACH OTHER LOAN DOCUMENT SHALL BE GOVERNED BY, AND CONSTRUED IN ACCORDANCE WITH, THE LAW OF THE STATE OF NEW YORK (EXCEPT AS OTHERWISE EXPRESSLY PROVIDED THEREIN).</w:t>
      </w:r>
    </w:p>
    <w:p>
      <w:pPr>
        <w:pStyle w:val="TextBody"/>
        <w:bidi w:val="0"/>
        <w:spacing w:before="0" w:after="240"/>
        <w:ind w:left="720" w:right="0" w:firstLine="720"/>
        <w:jc w:val="both"/>
        <w:rPr>
          <w:rFonts w:ascii="Times New Roman" w:hAnsi="Times New Roman"/>
          <w:sz w:val="20"/>
        </w:rPr>
      </w:pPr>
      <w:r>
        <w:rPr>
          <w:rFonts w:ascii="Times New Roman" w:hAnsi="Times New Roman"/>
          <w:color w:val="000000"/>
          <w:sz w:val="22"/>
        </w:rPr>
        <w:t>(b) EXCEPT AS SET FORTH IN THE FOLLOWING PARAGRAPH, ANY LEGAL ACTION OR PROCEEDING ARISING UNDER ANY LOAN DOCUMENT OR IN ANY WAY CONNECTED WITH OR RELATED OR INCIDENTAL TO THE DEALINGS OF THE PARTIES HERETO OR ANY OF THEM WITH RESPECT TO ANY LOAN DOCUMENT, OR THE TRANSACTIONS RELATED THERETO, IN EACH CASE WHETHER NOW EXISTING OR HEREAFTER ARISING, SHALL BE BROUGHT IN THE COURTS OF THE STATE OF NEW YORK SITTING IN THE BOROUGH OF MANHATTAN OR OF THE UNITED STATES FOR THE SOUTHERN DISTRICT OF SUCH STATE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NONE OF SUCH COURTS CAN AND WILL EXERCISE SUCH JURISDICTION, SUCH EXCLUSIVITY SHALL NOT APPLY), AND BY EXECUTION AND DELIVERY OF THIS AGREEMENT, THE BORROWER, EACH AGENT AND EACH LENDER CONSENTS, FOR ITSELF AND IN RESPECT OF ITS PROPERTY, TO THE EXCLUSIVE JURISDICTION OF THOSE COURTS. THE BORROWER, EACH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2"/>
        </w:rPr>
        <w:t xml:space="preserve">NOTHING IN THIS AGREEMENT OR IN ANY OTHER LOAN DOCUMENT SHALL AFFECT ANY RIGHT THAT THE ADMINISTRATIVE AGENT, THE COLLATERAL AGENT OR ANY LENDER </w:t>
      </w:r>
      <w:r>
        <w:rPr>
          <w:rFonts w:ascii="Times New Roman" w:hAnsi="Times New Roman"/>
          <w:caps/>
          <w:color w:val="000000"/>
          <w:sz w:val="22"/>
        </w:rPr>
        <w:t>MAY OTHERWISE HAVE TO BRING ANY ACTION OR PROCEEDING RELATING TO THIS</w:t>
      </w:r>
      <w:r>
        <w:rPr>
          <w:rFonts w:ascii="Times New Roman" w:hAnsi="Times New Roman"/>
          <w:color w:val="000000"/>
          <w:sz w:val="20"/>
        </w:rPr>
        <w:t xml:space="preserve"> </w:t>
      </w:r>
      <w:r>
        <w:rPr>
          <w:rFonts w:ascii="Times New Roman" w:hAnsi="Times New Roman"/>
          <w:color w:val="000000"/>
          <w:sz w:val="22"/>
        </w:rPr>
        <w:t>AGREEMENT OR ANY OTHER LOAN DOCUMENT AGAINST ANY LOAN PARTY OR ITS PROPERTIES IN THE COURTS OF ANY JURISDICTION (I) FOR PURPOSES OF ENFORCING A JUDGMENT, (II) IN CONNECTION WITH EXERCISING REMEDIES AGAINST THE COLLATERAL IN A JURISDICTION IN WHICH SUCH COLLATERAL IS LOCATED, (III) IN CONNECTION WITH ANY PENDING BANKRUPTCY, INSOLVENCY OR SIMILAR PROCEEDING IN SUCH JURISDICTION OR (IV) TO THE EXTENT THE COURTS REFERRED TO IN THE PREVIOUS PARAGRAPH DO NOT HAVE JURISDICTION OVER SUCH LEGAL ACTION OR PROCEEDING OR THE PARTIES OR PROPERTY SUBJECT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10.15 </w:t>
      </w:r>
      <w:r>
        <w:rPr>
          <w:rFonts w:ascii="Times New Roman" w:hAnsi="Times New Roman"/>
          <w:b w:val="false"/>
          <w:color w:val="000000"/>
          <w:sz w:val="22"/>
          <w:u w:val="single"/>
        </w:rPr>
        <w:t>WAIVER OF RIGHT TO TRIAL BY JURY</w:t>
      </w:r>
      <w:r>
        <w:rPr>
          <w:rFonts w:ascii="Times New Roman" w:hAnsi="Times New Roman"/>
          <w:b w:val="false"/>
          <w:color w:val="000000"/>
          <w:sz w:val="22"/>
        </w:rPr>
        <w:t>. EACH PARTY TO THIS AGREEMENT HEREBY EXPRESSLY WAIVES TO THE FULLEST EXTENT PERMITTED BY APPLICABLE LAW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SECTION 10.15</w:t>
      </w:r>
      <w:r>
        <w:rPr>
          <w:rFonts w:ascii="Times New Roman" w:hAnsi="Times New Roman"/>
          <w:color w:val="000000"/>
          <w:sz w:val="20"/>
        </w:rPr>
        <w:t xml:space="preserve"> </w:t>
      </w:r>
      <w:r>
        <w:rPr>
          <w:rFonts w:ascii="Times New Roman" w:hAnsi="Times New Roman"/>
          <w:b w:val="false"/>
          <w:color w:val="000000"/>
          <w:sz w:val="22"/>
        </w:rPr>
        <w:t>WITH ANY COURT AS WRITTEN EVIDENCE OF THE CONSENT OF THE SIGNATORIES HERETO TO THE WAIVER OF THEIR RIGHT TO TRIAL BY JURY.</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THE EVENT ANY LEGAL PROCEEDING IS FILED IN A COURT OF THE STATE OF CALIFORNIA (THE “COURT”) BY OR AGAINST ANY PARTY HERETO IN CONNECTION WITH ANY CLAIM AND THE WAIVER SET FORTH ABOVE IS NOT ENFORCEABLE IN SUCH PROCEEDING, THE PARTIES HERETO AGREE AS FOLLOWS:</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(i) WITH THE EXCEPTION OF THE MATTERS SPECIFIED IN SUBCLAUSE (ii) 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(ii) 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(iii) 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pStyle w:val="TextBody"/>
        <w:bidi w:val="0"/>
        <w:spacing w:before="0" w:after="220"/>
        <w:ind w:left="0" w:right="0" w:firstLine="2304"/>
        <w:jc w:val="both"/>
        <w:rPr>
          <w:rFonts w:ascii="Times New Roman" w:hAnsi="Times New Roman"/>
          <w:sz w:val="20"/>
        </w:rPr>
      </w:pPr>
      <w:r>
        <w:rPr>
          <w:rFonts w:ascii="Times New Roman" w:hAnsi="Times New Roman"/>
          <w:color w:val="000000"/>
          <w:sz w:val="22"/>
        </w:rPr>
        <w:t xml:space="preserve">(iv) 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Times New Roman" w:hAnsi="Times New Roman"/>
          <w:color w:val="000000"/>
          <w:sz w:val="22"/>
          <w:u w:val="single"/>
        </w:rPr>
        <w:t>PROVIDED</w:t>
      </w:r>
      <w:r>
        <w:rPr>
          <w:rFonts w:ascii="Times New Roman" w:hAnsi="Times New Roman"/>
          <w:color w:val="000000"/>
          <w:sz w:val="22"/>
        </w:rPr>
        <w:t>, THAT SUCH COSTS, ALONG WITH THE REFEREE’S FEES, SHALL ULTIMATELY BE BORNE BY THE PARTY WHO DOES NOT PREVAIL, AS DETERMINED BY THE REFEREE.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(v) 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(vi) 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 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pStyle w:val="TextBody"/>
        <w:bidi w:val="0"/>
        <w:spacing w:before="0" w:after="220"/>
        <w:ind w:left="0" w:right="0" w:firstLine="2304"/>
        <w:jc w:val="both"/>
        <w:rPr>
          <w:rFonts w:ascii="Times New Roman" w:hAnsi="Times New Roman"/>
          <w:color w:val="000000"/>
          <w:sz w:val="22"/>
        </w:rPr>
      </w:pPr>
      <w:r>
        <w:rPr>
          <w:rFonts w:ascii="Times New Roman" w:hAnsi="Times New Roman"/>
          <w:color w:val="000000"/>
          <w:sz w:val="22"/>
        </w:rPr>
        <w:t>(vii) 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10.16 </w:t>
      </w:r>
      <w:r>
        <w:rPr>
          <w:rFonts w:ascii="Times New Roman" w:hAnsi="Times New Roman"/>
          <w:b w:val="false"/>
          <w:color w:val="000000"/>
          <w:sz w:val="22"/>
          <w:u w:val="single"/>
        </w:rPr>
        <w:t>Binding Effect</w:t>
      </w:r>
      <w:r>
        <w:rPr>
          <w:rFonts w:ascii="Times New Roman" w:hAnsi="Times New Roman"/>
          <w:b w:val="false"/>
          <w:color w:val="000000"/>
          <w:sz w:val="22"/>
        </w:rPr>
        <w:t xml:space="preserve">. This Agreement shall become effective when it shall have been executed by the Borrower and the Administrative Agent shall have been notified by each Lender, Swing Line Lender and L/C Issuer that each such Lender, Swing Line Lender and L/C Issuer has executed it and thereafter shall be binding upon and inure to the benefit of the Borrower, each Agent, the L/C Issuer, Swing Line Lender and each Lender and their respective successors and assigns, except that the Borrower shall not have the right to assign its rights hereunder or any interest herein without the prior written consent of the Lenders except as permitted by </w:t>
      </w:r>
      <w:r>
        <w:rPr>
          <w:rFonts w:ascii="Times New Roman" w:hAnsi="Times New Roman"/>
          <w:b w:val="false"/>
          <w:color w:val="000000"/>
          <w:sz w:val="22"/>
          <w:u w:val="single"/>
        </w:rPr>
        <w:t>Section 7.04</w:t>
      </w:r>
      <w:r>
        <w:rPr>
          <w:rFonts w:ascii="Times New Roman" w:hAnsi="Times New Roman"/>
          <w:b w:val="false"/>
          <w:color w:val="000000"/>
          <w:sz w:val="22"/>
        </w:rPr>
        <w: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10.17 </w:t>
      </w:r>
      <w:r>
        <w:rPr>
          <w:rFonts w:ascii="Times New Roman" w:hAnsi="Times New Roman"/>
          <w:b w:val="false"/>
          <w:color w:val="000000"/>
          <w:sz w:val="22"/>
          <w:u w:val="single"/>
        </w:rPr>
        <w:t>Judgment Currency</w:t>
      </w:r>
      <w:r>
        <w:rPr>
          <w:rFonts w:ascii="Times New Roman" w:hAnsi="Times New Roman"/>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 w:hAnsi="Times New Roman"/>
          <w:b w:val="false"/>
          <w:color w:val="000000"/>
          <w:sz w:val="22"/>
          <w:u w:val="single"/>
        </w:rPr>
        <w:t>Judgment Currency</w:t>
      </w:r>
      <w:r>
        <w:rPr>
          <w:rFonts w:ascii="Times New Roman" w:hAnsi="Times New Roman"/>
          <w:color w:val="000000"/>
          <w:sz w:val="20"/>
        </w:rPr>
        <w:t>”</w:t>
      </w:r>
      <w:r>
        <w:rPr>
          <w:rFonts w:ascii="Times New Roman" w:hAnsi="Times New Roman"/>
          <w:b w:val="false"/>
          <w:color w:val="000000"/>
          <w:sz w:val="22"/>
        </w:rPr>
        <w:t>) other than that in which such sum is denominated in accordance with the applicable provisions of this Agreement (the “</w:t>
      </w:r>
      <w:r>
        <w:rPr>
          <w:rFonts w:ascii="Times New Roman" w:hAnsi="Times New Roman"/>
          <w:b w:val="false"/>
          <w:color w:val="000000"/>
          <w:sz w:val="22"/>
          <w:u w:val="single"/>
        </w:rPr>
        <w:t>Agreement Currency</w:t>
      </w:r>
      <w:r>
        <w:rPr>
          <w:rFonts w:ascii="Times New Roman" w:hAnsi="Times New Roman"/>
          <w:color w:val="000000"/>
          <w:sz w:val="20"/>
        </w:rPr>
        <w:t>”</w:t>
      </w:r>
      <w:r>
        <w:rPr>
          <w:rFonts w:ascii="Times New Roman" w:hAnsi="Times New Roman"/>
          <w:b w:val="false"/>
          <w:color w:val="000000"/>
          <w:sz w:val="22"/>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 as a separate obligation and notwithstanding any such judgment, to indemnify the Administrative Agent or the Person to whom such obligation was owing against such loss. If the amount of the Agreement Currency so</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purchased is greater than the sum originally due to the Administrative Agent in such currency, the Administrative Agent agrees to return the amount of any excess to the Borrower (or to any other Person who may be entitled thereto under applicable Law).</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10.18 </w:t>
      </w:r>
      <w:r>
        <w:rPr>
          <w:rFonts w:ascii="Times New Roman" w:hAnsi="Times New Roman"/>
          <w:b w:val="false"/>
          <w:color w:val="000000"/>
          <w:sz w:val="22"/>
          <w:u w:val="single"/>
        </w:rPr>
        <w:t>Lender Action</w:t>
      </w:r>
      <w:r>
        <w:rPr>
          <w:rFonts w:ascii="Times New Roman" w:hAnsi="Times New Roman"/>
          <w:b w:val="false"/>
          <w:color w:val="000000"/>
          <w:sz w:val="22"/>
        </w:rPr>
        <w:t xml:space="preserve">. Each Lender agrees that it shall not take or institute any actions or proceedings, judicial or otherwise, for any right or remedy against any Loan Party or any other obligor under any of the Loan Documents or the Secured Hedge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without the prior written consent of the Administrative Agent. The provisions of this </w:t>
      </w:r>
      <w:r>
        <w:rPr>
          <w:rFonts w:ascii="Times New Roman" w:hAnsi="Times New Roman"/>
          <w:b w:val="false"/>
          <w:color w:val="000000"/>
          <w:sz w:val="22"/>
          <w:u w:val="single"/>
        </w:rPr>
        <w:t>Section 10.18</w:t>
      </w:r>
      <w:r>
        <w:rPr>
          <w:rFonts w:ascii="Times New Roman" w:hAnsi="Times New Roman"/>
          <w:color w:val="000000"/>
          <w:sz w:val="20"/>
        </w:rPr>
        <w:t xml:space="preserve"> </w:t>
      </w:r>
      <w:r>
        <w:rPr>
          <w:rFonts w:ascii="Times New Roman" w:hAnsi="Times New Roman"/>
          <w:b w:val="false"/>
          <w:color w:val="000000"/>
          <w:sz w:val="22"/>
        </w:rPr>
        <w:t>are for the sole benefit of the Lenders and shall not afford any right to, or constitute a defense available to, any Loan Party.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10.19 </w:t>
      </w:r>
      <w:r>
        <w:rPr>
          <w:rFonts w:ascii="Times New Roman" w:hAnsi="Times New Roman"/>
          <w:b w:val="false"/>
          <w:color w:val="000000"/>
          <w:sz w:val="22"/>
          <w:u w:val="single"/>
        </w:rPr>
        <w:t>Know-Your-Customer, Etc.</w:t>
      </w:r>
      <w:r>
        <w:rPr>
          <w:rFonts w:ascii="Times New Roman" w:hAnsi="Times New Roman"/>
          <w:color w:val="000000"/>
          <w:sz w:val="20"/>
        </w:rPr>
        <w:t xml:space="preserve"> </w:t>
      </w:r>
      <w:r>
        <w:rPr>
          <w:rFonts w:ascii="Times New Roman" w:hAnsi="Times New Roman"/>
          <w:b w:val="false"/>
          <w:color w:val="000000"/>
          <w:sz w:val="22"/>
        </w:rPr>
        <w:t xml:space="preserve">Each Lender shall, promptly following a request by the Administrative Agent, provide all documentation and other information that the Administrative Agent reasonably requests in order to comply with its ongoing obligations under applicable “know your customer” and anti-money laundering rules and regulations, including the USA </w:t>
      </w:r>
      <w:r>
        <w:rPr>
          <w:rFonts w:ascii="Times New Roman" w:hAnsi="Times New Roman"/>
          <w:b w:val="false"/>
          <w:caps/>
          <w:color w:val="000000"/>
          <w:sz w:val="22"/>
        </w:rPr>
        <w:t>Patriot</w:t>
      </w:r>
      <w:r>
        <w:rPr>
          <w:rFonts w:ascii="Times New Roman" w:hAnsi="Times New Roman"/>
          <w:color w:val="000000"/>
          <w:sz w:val="20"/>
        </w:rPr>
        <w:t xml:space="preserve"> </w:t>
      </w:r>
      <w:r>
        <w:rPr>
          <w:rFonts w:ascii="Times New Roman" w:hAnsi="Times New Roman"/>
          <w:b w:val="false"/>
          <w:color w:val="000000"/>
          <w:sz w:val="22"/>
        </w:rPr>
        <w:t>Act.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10.20 </w:t>
      </w:r>
      <w:r>
        <w:rPr>
          <w:rFonts w:ascii="Times New Roman" w:hAnsi="Times New Roman"/>
          <w:b w:val="false"/>
          <w:color w:val="000000"/>
          <w:sz w:val="22"/>
          <w:u w:val="single"/>
        </w:rPr>
        <w:t>USA PATRIOT Act</w:t>
      </w:r>
      <w:r>
        <w:rPr>
          <w:rFonts w:ascii="Times New Roman" w:hAnsi="Times New Roman"/>
          <w:b w:val="false"/>
          <w:color w:val="000000"/>
          <w:sz w:val="22"/>
        </w:rPr>
        <w:t>. Each Lender hereby notifies the Borrower that, pursuant to the requirements of the USA PATRIOT Act, it is required to obtain, verify and record information that identifies the Borrower and the Guarantors, which information includes the name and address of the Borrower and the Guarantors and other information that will allow such Lender to identify the Borrower and the Guarantors in accordance with the USA PATRIOT Act.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10.21 </w:t>
      </w:r>
      <w:r>
        <w:rPr>
          <w:rFonts w:ascii="Times New Roman" w:hAnsi="Times New Roman"/>
          <w:b w:val="false"/>
          <w:color w:val="000000"/>
          <w:sz w:val="22"/>
          <w:u w:val="single"/>
        </w:rPr>
        <w:t>Applicable Intercreditor Agreements</w:t>
      </w:r>
      <w:r>
        <w:rPr>
          <w:rFonts w:ascii="Times New Roman" w:hAnsi="Times New Roman"/>
          <w:b w:val="false"/>
          <w:color w:val="000000"/>
          <w:sz w:val="22"/>
        </w:rPr>
        <w:t>. Each Lender (and, by its acceptance of the benefits of any Collateral Document, each other Secured Party) hereunder authorizes and instructs the Collateral Agent, as Collateral Agent and on behalf of such Lender or other Secured Party, to enter into one or more Applicable Intercreditor Agreements from time to time and agrees that it will be bound by and will take no actions contrary to the provisions thereof.</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10.22 </w:t>
      </w:r>
      <w:r>
        <w:rPr>
          <w:rFonts w:ascii="Times New Roman" w:hAnsi="Times New Roman"/>
          <w:b w:val="false"/>
          <w:color w:val="000000"/>
          <w:sz w:val="22"/>
          <w:u w:val="single"/>
        </w:rPr>
        <w:t>Obligations Absolute</w:t>
      </w:r>
      <w:r>
        <w:rPr>
          <w:rFonts w:ascii="Times New Roman" w:hAnsi="Times New Roman"/>
          <w:b w:val="false"/>
          <w:color w:val="000000"/>
          <w:sz w:val="22"/>
        </w:rPr>
        <w:t>. To the fullest extent permitted by applicable Law, all obligations of the Loan Parties hereunder shall be absolute and unconditional irrespective of:</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any bankruptcy, insolvency, reorganization, arrangement, readjustment, composition, liquidation or the like of any Loan Party;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any lack of validity or enforceability of any Loan Document or any other agreement or instrument relating thereto against any Loan Party;</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(c) any change in the time, manner or place of payment of, or in any other term of, all or any of the Obligations, or any other amendment or waiver of or any consent to any departure from any Loan Document or any other agreement or instrument relating thereto;</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(d) any exchange, release or non-perfection of any other Collateral, or any release or amendment or waiver of or consent to any departure from any guarantee, for all or any of the Obligations;</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(e) any exercise or non-exercise, or any waiver of any right, remedy, power or privilege under or in respect hereof or any Loan Document; or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(f) any other circumstances which might otherwise constitute a defense available to, or a discharge of, the Loan Parties.</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10.23 </w:t>
      </w:r>
      <w:r>
        <w:rPr>
          <w:rFonts w:ascii="Times New Roman" w:hAnsi="Times New Roman"/>
          <w:b w:val="false"/>
          <w:color w:val="000000"/>
          <w:sz w:val="22"/>
          <w:u w:val="single"/>
        </w:rPr>
        <w:t>No Advisory or Fiduciary Responsibility</w:t>
      </w:r>
      <w:r>
        <w:rPr>
          <w:rFonts w:ascii="Times New Roman" w:hAnsi="Times New Roman"/>
          <w:b w:val="false"/>
          <w:color w:val="000000"/>
          <w:sz w:val="22"/>
        </w:rPr>
        <w:t>. In connection with all aspects of each transaction contemplated hereby (including in connection with any amendment, waiver or other modification hereof or of any other Loan Document), each of the Borrower acknowledges and agrees, and acknowledges its Affiliates’ understanding, that: (i) (A) the arranging and other services regarding this Agreement provided by the Administrative Agent and the Lead Arranger are arm’s-length commercial transactions between the Borrower and their respective Affiliates, on the one hand, and the Administrative Agent and the Lead Arranger, on the other hand, (B) the Borrower has consulted its own legal, accounting, regulatory and tax advisors to the extent it has deemed appropriate, and (C) each of the Borrower is capable of evaluating, and understands and accepts, the terms, risks and conditions of the transactions contemplated hereby and by the other Loan Documents; (ii) (A) the Administrative Agent, each Lender and the Lead Arranger each is and has been acting solely as a principal and, except as expressly agreed in writing by the relevant parties, has not been, is not, and will not be acting as an advisor, agent or fiduciary for the Borrower or any of their respective Affiliates, or any other Person and (B) neither the Administrative Agent, nor the Lead Arranger or any Lender has any obligation to the Borrower or any of their respective Affiliates with respect to the transactions contemplated hereby except those obligations expressly set forth herein and in the other Loan Documents; and (iii) the Administrative Agent, each Lender and the Lead Arranger and their respective Affiliates may be engaged in a broad range of transactions that involve interests that differ from those of the Borrower and their respective Affiliates, and neither the Administrative Agent nor the Lead Arranger has any obligation to disclose any of such interests to the Borrower or any of their respective Affiliates. To the fullest extent permitted by law, the Borrower hereby waives and releases any claims that it may have against the Administrative Agent, each Lender and the Lead Arranger with respect to any breach or alleged breach of agency or fiduciary duty in connection with any aspect of any transaction contemplated hereby.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10.24 </w:t>
      </w:r>
      <w:r>
        <w:rPr>
          <w:rFonts w:ascii="Times New Roman" w:hAnsi="Times New Roman"/>
          <w:b w:val="false"/>
          <w:color w:val="000000"/>
          <w:sz w:val="22"/>
          <w:u w:val="single"/>
        </w:rPr>
        <w:t>Electronic Execution of Assignments and Certain Other Documents</w:t>
      </w:r>
      <w:r>
        <w:rPr>
          <w:rFonts w:ascii="Times New Roman" w:hAnsi="Times New Roman"/>
          <w:b w:val="false"/>
          <w:color w:val="000000"/>
          <w:sz w:val="22"/>
        </w:rPr>
        <w:t>. The words “execution,” “execute”, “signed,” “signature,” and words of like import in or related to any document to be signed in connection with this Agreement and the transactions contemplated 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10.25 </w:t>
      </w:r>
      <w:r>
        <w:rPr>
          <w:rFonts w:ascii="Times New Roman" w:hAnsi="Times New Roman"/>
          <w:b w:val="false"/>
          <w:color w:val="000000"/>
          <w:sz w:val="22"/>
          <w:u w:val="single"/>
        </w:rPr>
        <w:t>Acknowledgement and Consent to Bail-In of Affected Financial Institutions</w:t>
      </w:r>
      <w:r>
        <w:rPr>
          <w:rFonts w:ascii="Times New Roman" w:hAnsi="Times New Roman"/>
          <w:b w:val="false"/>
          <w:color w:val="000000"/>
          <w:sz w:val="22"/>
        </w:rPr>
        <w:t>.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 Resolution Authority and agrees and consents to, and acknowledges and agrees to be bound by: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before="0" w:after="240"/>
        <w:ind w:left="720" w:right="0" w:firstLine="72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10.26 </w:t>
      </w:r>
      <w:r>
        <w:rPr>
          <w:rFonts w:ascii="Times New Roman" w:hAnsi="Times New Roman"/>
          <w:b w:val="false"/>
          <w:color w:val="000000"/>
          <w:sz w:val="22"/>
          <w:u w:val="single"/>
        </w:rPr>
        <w:t>Lender Representation</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ind w:left="0" w:right="0" w:firstLine="1440"/>
        <w:jc w:val="both"/>
        <w:rPr>
          <w:rFonts w:ascii="Times New Roman" w:hAnsi="Times New Roman"/>
          <w:sz w:val="20"/>
        </w:rPr>
      </w:pPr>
      <w:r>
        <w:rPr>
          <w:rFonts w:ascii="Times New Roman" w:hAnsi="Times New Roman"/>
          <w:color w:val="000000"/>
          <w:sz w:val="22"/>
        </w:rPr>
        <w:t>(a)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the Commitments or this Agreement,</w:t>
      </w:r>
      <w:r>
        <w:rPr>
          <w:rFonts w:ascii="Times New Roman" w:hAnsi="Times New Roman"/>
          <w:color w:val="000000"/>
          <w:sz w:val="20"/>
        </w:rPr>
        <w:t xml:space="preserve"> </w:t>
      </w:r>
    </w:p>
    <w:p>
      <w:pPr>
        <w:pStyle w:val="TextBody"/>
        <w:bidi w:val="0"/>
        <w:spacing w:before="0" w:after="240"/>
        <w:ind w:left="1440" w:right="0" w:firstLine="720"/>
        <w:jc w:val="both"/>
        <w:rPr>
          <w:rFonts w:ascii="Times New Roman" w:hAnsi="Times New Roman"/>
          <w:color w:val="000000"/>
          <w:sz w:val="22"/>
        </w:rPr>
      </w:pPr>
      <w:r>
        <w:rPr>
          <w:rFonts w:ascii="Times New Roman" w:hAnsi="Times New Roman"/>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 or</w:t>
      </w:r>
    </w:p>
    <w:p>
      <w:pPr>
        <w:pStyle w:val="TextBody"/>
        <w:bidi w:val="0"/>
        <w:spacing w:before="0" w:after="240"/>
        <w:ind w:left="1440" w:right="0" w:firstLine="720"/>
        <w:jc w:val="both"/>
        <w:rPr>
          <w:rFonts w:ascii="Times New Roman" w:hAnsi="Times New Roman"/>
          <w:sz w:val="20"/>
        </w:rPr>
      </w:pPr>
      <w:r>
        <w:rPr>
          <w:rFonts w:ascii="Times New Roman" w:hAnsi="Times New Roman"/>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1440"/>
        <w:jc w:val="both"/>
        <w:rPr>
          <w:rFonts w:ascii="Times New Roman" w:hAnsi="Times New Roman"/>
          <w:color w:val="000000"/>
          <w:sz w:val="22"/>
        </w:rPr>
      </w:pPr>
      <w:r>
        <w:rPr>
          <w:rFonts w:ascii="Times New Roman" w:hAnsi="Times New Roman"/>
          <w:color w:val="000000"/>
          <w:sz w:val="22"/>
        </w:rPr>
        <w:t>(b) In addition, unless either (1)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Heading2"/>
        <w:bidi w:val="0"/>
        <w:spacing w:before="0" w:after="240"/>
        <w:ind w:left="0" w:right="0" w:firstLine="1440"/>
        <w:jc w:val="both"/>
        <w:rPr>
          <w:rFonts w:ascii="Times New Roman" w:hAnsi="Times New Roman"/>
          <w:sz w:val="20"/>
        </w:rPr>
      </w:pPr>
      <w:r>
        <w:rPr>
          <w:rFonts w:ascii="Times New Roman" w:hAnsi="Times New Roman"/>
          <w:b w:val="false"/>
          <w:color w:val="000000"/>
          <w:sz w:val="22"/>
        </w:rPr>
        <w:t xml:space="preserve">Section 10.27 </w:t>
      </w:r>
      <w:r>
        <w:rPr>
          <w:rFonts w:ascii="Times New Roman" w:hAnsi="Times New Roman"/>
          <w:b w:val="false"/>
          <w:color w:val="000000"/>
          <w:sz w:val="22"/>
          <w:u w:val="single"/>
        </w:rPr>
        <w:t>Acknowledgment Regarding Any Supported QFCs</w:t>
      </w:r>
      <w:r>
        <w:rPr>
          <w:rFonts w:ascii="Times New Roman" w:hAnsi="Times New Roman"/>
          <w:b w:val="false"/>
          <w:color w:val="000000"/>
          <w:sz w:val="22"/>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val="false"/>
          <w:color w:val="000000"/>
          <w:sz w:val="22"/>
          <w:u w:val="single"/>
        </w:rPr>
        <w:t>U.S. Special Resolution Regimes</w:t>
      </w:r>
      <w:r>
        <w:rPr>
          <w:rFonts w:ascii="Times New Roman" w:hAnsi="Times New Roman"/>
          <w:color w:val="000000"/>
          <w:sz w:val="20"/>
        </w:rPr>
        <w:t>”</w:t>
      </w:r>
      <w:r>
        <w:rPr>
          <w:rFonts w:ascii="Times New Roman" w:hAnsi="Times New Roman"/>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180" w:right="0" w:firstLine="1440"/>
        <w:jc w:val="both"/>
        <w:rPr>
          <w:rFonts w:ascii="Times New Roman" w:hAnsi="Times New Roman"/>
          <w:sz w:val="20"/>
        </w:rPr>
      </w:pPr>
      <w:r>
        <w:rPr>
          <w:rFonts w:ascii="Times New Roman" w:hAnsi="Times New Roman"/>
          <w:color w:val="000000"/>
          <w:sz w:val="22"/>
        </w:rPr>
        <w:t>(a) 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parties with respect to a Defaulting Lender shall in no event affect the rights of any Covered Party with respect to a Supported QFC or any QFC Credit Support.</w:t>
      </w:r>
    </w:p>
    <w:p>
      <w:pPr>
        <w:pStyle w:val="TextBody"/>
        <w:bidi w:val="0"/>
        <w:spacing w:before="0" w:after="240"/>
        <w:ind w:left="180" w:right="0" w:firstLine="1440"/>
        <w:jc w:val="both"/>
        <w:rPr>
          <w:rFonts w:ascii="Times New Roman" w:hAnsi="Times New Roman"/>
          <w:sz w:val="20"/>
        </w:rPr>
      </w:pPr>
      <w:r>
        <w:rPr>
          <w:rFonts w:ascii="Times New Roman" w:hAnsi="Times New Roman"/>
          <w:color w:val="000000"/>
          <w:sz w:val="22"/>
        </w:rPr>
        <w:t>(b) As used in this</w:t>
      </w:r>
      <w:r>
        <w:rPr>
          <w:rFonts w:ascii="Times New Roman" w:hAnsi="Times New Roman"/>
          <w:color w:val="000000"/>
          <w:sz w:val="20"/>
          <w:u w:val="single"/>
        </w:rPr>
        <w:t xml:space="preserve"> </w:t>
      </w:r>
      <w:r>
        <w:rPr>
          <w:rFonts w:ascii="Times New Roman" w:hAnsi="Times New Roman"/>
          <w:color w:val="000000"/>
          <w:sz w:val="22"/>
          <w:u w:val="single"/>
        </w:rPr>
        <w:t>Section 10.26</w:t>
      </w:r>
      <w:r>
        <w:rPr>
          <w:rFonts w:ascii="Times New Roman" w:hAnsi="Times New Roman"/>
          <w:color w:val="000000"/>
          <w:sz w:val="22"/>
        </w:rPr>
        <w:t>, the following terms have the following meanings:</w:t>
      </w:r>
    </w:p>
    <w:p>
      <w:pPr>
        <w:pStyle w:val="TextBody"/>
        <w:bidi w:val="0"/>
        <w:spacing w:before="0" w:after="240"/>
        <w:ind w:left="0" w:right="0" w:firstLine="23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means an “affiliate” (as such term is defined under, and interpreted in accordance with, 12 U.S.C. 1841(k)) of such party.</w:t>
      </w:r>
    </w:p>
    <w:p>
      <w:pPr>
        <w:pStyle w:val="TextBody"/>
        <w:bidi w:val="0"/>
        <w:spacing w:before="0" w:after="240"/>
        <w:ind w:left="0" w:right="0" w:firstLine="23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0" w:right="0" w:firstLine="23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2340"/>
        <w:jc w:val="both"/>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[SIGNATURE PAGES INTENTIONALLY OMITTED]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9" w:name="ttan-ex19_1.htm"/>
      <w:bookmarkStart w:id="60" w:name="ksttanex19_1"/>
      <w:bookmarkEnd w:id="59"/>
      <w:bookmarkEnd w:id="60"/>
      <w:r>
        <w:rPr>
          <w:rFonts w:ascii="Times New Roman" w:hAnsi="Times New Roman"/>
          <w:b/>
          <w:color w:val="000000"/>
          <w:sz w:val="20"/>
        </w:rPr>
        <w:t>Exhibit 19.1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SERVICETITAN, INC.</w:t>
        <w:br/>
        <w:t>INSIDER TRADING COMPLIANCE POLICY AND PROCEDURES</w:t>
      </w:r>
    </w:p>
    <w:p>
      <w:pPr>
        <w:pStyle w:val="TextBody"/>
        <w:bidi w:val="0"/>
        <w:spacing w:before="0" w:after="240"/>
        <w:jc w:val="both"/>
        <w:rPr>
          <w:rFonts w:ascii="Times New Roman" w:hAnsi="Times New Roman"/>
          <w:sz w:val="20"/>
        </w:rPr>
      </w:pPr>
      <w:r>
        <w:rPr>
          <w:rFonts w:ascii="Times New Roman" w:hAnsi="Times New Roman"/>
          <w:color w:val="000000"/>
          <w:sz w:val="22"/>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ServiceTitan, Inc. (together with its subsidiaries,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Persons Covered and Administration of Policy</w:t>
      </w:r>
    </w:p>
    <w:p>
      <w:pPr>
        <w:pStyle w:val="TextBody"/>
        <w:bidi w:val="0"/>
        <w:spacing w:before="0" w:after="240"/>
        <w:jc w:val="both"/>
        <w:rPr>
          <w:rFonts w:ascii="Times New Roman" w:hAnsi="Times New Roman"/>
          <w:sz w:val="20"/>
        </w:rPr>
      </w:pPr>
      <w:r>
        <w:rPr>
          <w:rFonts w:ascii="Times New Roman" w:hAnsi="Times New Roman"/>
          <w:color w:val="000000"/>
          <w:sz w:val="22"/>
        </w:rPr>
        <w:t>This Insider Trading Compliance Policy and Procedures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applies to all officers, directors, and employees, including professional employer organization employees, of the Company and all of its subsidiaries and controlled affiliates. For purposes of this Policy, “officers” refer to those individuals who meet the definition of “officer” under Section 16 of the Securities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Individuals subject to this Policy are also responsible for ensuring that members of their household comply with this Policy (e.g. spouses, domestic partners, children).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provided, however, that this Policy does not apply to any entity that engages in the investment of securities in the ordinary course of its business (e.g., an investment fund or partnership) if such entity has established its own insider trading controls and procedures in compliance with applicable securities laws. The Company may determine that this Policy applies to additional persons with access to material nonpublic information, such as contractors or consultants. Officers, directors, and employees, together with any other person designated as being subject to this Policy by the Company’s Chief Legal Officer, or the person serving an equivalent function (such individual, the “</w:t>
      </w:r>
      <w:r>
        <w:rPr>
          <w:rFonts w:ascii="Times New Roman" w:hAnsi="Times New Roman"/>
          <w:b/>
          <w:i/>
          <w:color w:val="000000"/>
          <w:sz w:val="22"/>
        </w:rPr>
        <w:t>Compliance Officer</w:t>
      </w:r>
      <w:r>
        <w:rPr>
          <w:rFonts w:ascii="Times New Roman" w:hAnsi="Times New Roman"/>
          <w:color w:val="000000"/>
          <w:sz w:val="20"/>
        </w:rPr>
        <w:t>”</w:t>
      </w:r>
      <w:r>
        <w:rPr>
          <w:rFonts w:ascii="Times New Roman" w:hAnsi="Times New Roman"/>
          <w:color w:val="000000"/>
          <w:sz w:val="22"/>
        </w:rPr>
        <w:t>) are referred to collectively as “</w:t>
      </w:r>
      <w:r>
        <w:rPr>
          <w:rFonts w:ascii="Times New Roman" w:hAnsi="Times New Roman"/>
          <w:b/>
          <w:i/>
          <w:color w:val="000000"/>
          <w:sz w:val="22"/>
        </w:rPr>
        <w:t>Covered Persons</w:t>
      </w:r>
      <w:r>
        <w:rPr>
          <w:rFonts w:ascii="Times New Roman" w:hAnsi="Times New Roman"/>
          <w:i/>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Questions regarding the Policy should be directed to the Compliance Officer, who is responsible for the administration of this Policy at trading@. Actions taken by the Company do not constitute legal advice, nor do they insulate you from the consequences of noncompliance with this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Policy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No Purchase or Sale of any Securities while in Possession of MNPI</w:t>
      </w:r>
    </w:p>
    <w:p>
      <w:pPr>
        <w:pStyle w:val="TextBody"/>
        <w:bidi w:val="0"/>
        <w:spacing w:before="0" w:after="240"/>
        <w:jc w:val="both"/>
        <w:rPr>
          <w:rFonts w:ascii="Times New Roman" w:hAnsi="Times New Roman"/>
          <w:sz w:val="20"/>
        </w:rPr>
      </w:pPr>
      <w:r>
        <w:rPr>
          <w:rFonts w:ascii="Times New Roman" w:hAnsi="Times New Roman"/>
          <w:color w:val="000000"/>
          <w:sz w:val="22"/>
        </w:rPr>
        <w:t>No Covered Person shall purchase or sell any type of security while in possession of material nonpublic information (“</w:t>
      </w:r>
      <w:r>
        <w:rPr>
          <w:rFonts w:ascii="Times New Roman" w:hAnsi="Times New Roman"/>
          <w:b/>
          <w:i/>
          <w:color w:val="000000"/>
          <w:sz w:val="22"/>
        </w:rPr>
        <w:t>MNPI</w:t>
      </w:r>
      <w:r>
        <w:rPr>
          <w:rFonts w:ascii="Times New Roman" w:hAnsi="Times New Roman"/>
          <w:color w:val="000000"/>
          <w:sz w:val="20"/>
        </w:rPr>
        <w:t>”</w:t>
      </w:r>
      <w:r>
        <w:rPr>
          <w:rFonts w:ascii="Times New Roman" w:hAnsi="Times New Roman"/>
          <w:color w:val="000000"/>
          <w:sz w:val="22"/>
        </w:rPr>
        <w:t>) relating to the security or the issuer of such security in breach of a duty of trust or confidence, whether the issuer of such security is the Company or any other company. In addition, if a Covered Person is in possession of MNPI about other publicly traded companies, such as suppliers, partners,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MNPI if such information is obtained in the course of the Covered Person’s employment or service with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No Communication of MNPI Other than on a Need-to-Know Basis</w:t>
      </w:r>
    </w:p>
    <w:p>
      <w:pPr>
        <w:pStyle w:val="TextBody"/>
        <w:bidi w:val="0"/>
        <w:spacing w:before="0" w:after="240"/>
        <w:jc w:val="both"/>
        <w:rPr>
          <w:rFonts w:ascii="Times New Roman" w:hAnsi="Times New Roman"/>
          <w:sz w:val="20"/>
        </w:rPr>
      </w:pPr>
      <w:r>
        <w:rPr>
          <w:rFonts w:ascii="Times New Roman" w:hAnsi="Times New Roman"/>
          <w:color w:val="000000"/>
          <w:sz w:val="22"/>
        </w:rPr>
        <w:t>In addition, Covered Persons shall not directly or indirectly communicate MNPI to anyone outside the Company (except in accordance with the Company’s policies regarding confidential information) or to anyone within the Company other than on a “need-to-know” basis.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Definitions of Securities, Purchase &amp; Sale</w:t>
      </w:r>
    </w:p>
    <w:p>
      <w:pPr>
        <w:pStyle w:val="TextBody"/>
        <w:bidi w:val="0"/>
        <w:spacing w:before="0" w:after="240"/>
        <w:jc w:val="both"/>
        <w:rPr/>
      </w:pPr>
      <w:r>
        <w:rPr>
          <w:color w:val="000000"/>
        </w:rPr>
        <w:t>“</w:t>
      </w:r>
      <w:r>
        <w:rPr>
          <w:rFonts w:ascii="Times New Roman" w:hAnsi="Times New Roman"/>
          <w:b/>
          <w:i/>
          <w:color w:val="000000"/>
          <w:sz w:val="22"/>
        </w:rPr>
        <w:t>securities</w:t>
      </w:r>
      <w:r>
        <w:rPr>
          <w:rFonts w:ascii="Times New Roman" w:hAnsi="Times New Roman"/>
          <w:color w:val="000000"/>
          <w:sz w:val="20"/>
        </w:rPr>
        <w:t xml:space="preserve">” </w:t>
      </w:r>
      <w:r>
        <w:rPr>
          <w:rFonts w:ascii="Times New Roman" w:hAnsi="Times New Roman"/>
          <w:color w:val="000000"/>
          <w:sz w:val="22"/>
        </w:rPr>
        <w:t>includes stocks, bonds, notes, debentures, options, warrants, equity and other convertible securities, as well as derivative instruments (e.g. futures, swaps, call options).</w:t>
      </w:r>
    </w:p>
    <w:p>
      <w:pPr>
        <w:pStyle w:val="TextBody"/>
        <w:bidi w:val="0"/>
        <w:spacing w:before="0" w:after="240"/>
        <w:jc w:val="both"/>
        <w:rPr/>
      </w:pPr>
      <w:r>
        <w:rPr>
          <w:color w:val="000000"/>
        </w:rPr>
        <w:t>“</w:t>
      </w:r>
      <w:r>
        <w:rPr>
          <w:rFonts w:ascii="Times New Roman" w:hAnsi="Times New Roman"/>
          <w:b/>
          <w:i/>
          <w:color w:val="000000"/>
          <w:sz w:val="22"/>
        </w:rPr>
        <w:t>Purchase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i/>
          <w:color w:val="000000"/>
          <w:sz w:val="22"/>
        </w:rPr>
        <w:t>sale</w:t>
      </w:r>
      <w:r>
        <w:rPr>
          <w:rFonts w:ascii="Times New Roman" w:hAnsi="Times New Roman"/>
          <w:color w:val="000000"/>
          <w:sz w:val="20"/>
        </w:rPr>
        <w:t xml:space="preserve">” </w:t>
      </w:r>
      <w:r>
        <w:rPr>
          <w:rFonts w:ascii="Times New Roman" w:hAnsi="Times New Roman"/>
          <w:color w:val="000000"/>
          <w:sz w:val="22"/>
        </w:rPr>
        <w:t>are defined broadly under the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pStyle w:val="TextBody"/>
        <w:bidi w:val="0"/>
        <w:spacing w:before="0" w:after="240"/>
        <w:jc w:val="both"/>
        <w:rPr>
          <w:rFonts w:ascii="Times New Roman" w:hAnsi="Times New Roman"/>
          <w:sz w:val="20"/>
        </w:rPr>
      </w:pPr>
      <w:r>
        <w:rPr>
          <w:rFonts w:ascii="Times New Roman" w:hAnsi="Times New Roman"/>
          <w:color w:val="000000"/>
          <w:sz w:val="22"/>
        </w:rPr>
        <w:t>The laws and regulations concerning insider trading are complex, and Covered Persons are encouraged to seek guidance from the Compliance Officer at trading@ prior to considering a transaction in Company securities.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Blackout Periods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No Purchase or Sale of Company Securities During the Pre-Earnings Blackout Period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 director, officer, or employee listed on </w:t>
      </w:r>
      <w:r>
        <w:rPr>
          <w:rFonts w:ascii="Times New Roman" w:hAnsi="Times New Roman"/>
          <w:color w:val="000000"/>
          <w:sz w:val="22"/>
          <w:u w:val="single"/>
        </w:rPr>
        <w:t>Schedule I</w:t>
      </w:r>
      <w:r>
        <w:rPr>
          <w:rFonts w:ascii="Times New Roman" w:hAnsi="Times New Roman"/>
          <w:color w:val="000000"/>
          <w:sz w:val="22"/>
        </w:rPr>
        <w:t>, as amended from time to time, as well as any individual or entity covered by this Policy by virtue of their relationship to such director, officer, or employee shall purchase or sell any security of the Company during the period beginning on close of the market on the last trading day that is two weeks prior to the end of any fiscal quarter of the Company and ending after close of market of the second full trading day after the public release of earnings data for such fiscal quarter or during any other trading suspension period declared by the Company, such period, a “</w:t>
      </w:r>
      <w:r>
        <w:rPr>
          <w:rFonts w:ascii="Times New Roman" w:hAnsi="Times New Roman"/>
          <w:b/>
          <w:i/>
          <w:color w:val="000000"/>
          <w:sz w:val="22"/>
        </w:rPr>
        <w:t>blackout period</w:t>
      </w:r>
      <w:r>
        <w:rPr>
          <w:rFonts w:ascii="Times New Roman" w:hAnsi="Times New Roman"/>
          <w:color w:val="000000"/>
          <w:sz w:val="22"/>
        </w:rPr>
        <w:t>.” A “</w:t>
      </w:r>
      <w:r>
        <w:rPr>
          <w:rFonts w:ascii="Times New Roman" w:hAnsi="Times New Roman"/>
          <w:b/>
          <w:i/>
          <w:color w:val="000000"/>
          <w:sz w:val="22"/>
        </w:rPr>
        <w:t>trading day</w:t>
      </w:r>
      <w:r>
        <w:rPr>
          <w:rFonts w:ascii="Times New Roman" w:hAnsi="Times New Roman"/>
          <w:color w:val="000000"/>
          <w:sz w:val="20"/>
        </w:rPr>
        <w:t xml:space="preserve">” </w:t>
      </w:r>
      <w:r>
        <w:rPr>
          <w:rFonts w:ascii="Times New Roman" w:hAnsi="Times New Roman"/>
          <w:color w:val="000000"/>
          <w:sz w:val="22"/>
        </w:rPr>
        <w:t xml:space="preserve">is a day on which U.S. national stock exchanges are open for trading. If, for example, the Company were to make an announcement on Monday </w:t>
      </w:r>
      <w:r>
        <w:rPr>
          <w:rFonts w:ascii="Times New Roman" w:hAnsi="Times New Roman"/>
          <w:i/>
          <w:color w:val="000000"/>
          <w:sz w:val="22"/>
        </w:rPr>
        <w:t>prior</w:t>
      </w:r>
      <w:r>
        <w:rPr>
          <w:rFonts w:ascii="Times New Roman" w:hAnsi="Times New Roman"/>
          <w:color w:val="000000"/>
          <w:sz w:val="20"/>
        </w:rPr>
        <w:t xml:space="preserve"> </w:t>
      </w:r>
      <w:r>
        <w:rPr>
          <w:rFonts w:ascii="Times New Roman" w:hAnsi="Times New Roman"/>
          <w:color w:val="000000"/>
          <w:sz w:val="22"/>
        </w:rPr>
        <w:t xml:space="preserve">to 9:30 a.m. Eastern Time, then the blackout period would terminate </w:t>
      </w:r>
      <w:r>
        <w:rPr>
          <w:rFonts w:ascii="Times New Roman" w:hAnsi="Times New Roman"/>
          <w:i/>
          <w:color w:val="000000"/>
          <w:sz w:val="22"/>
        </w:rPr>
        <w:t>after</w:t>
      </w:r>
      <w:r>
        <w:rPr>
          <w:rFonts w:ascii="Times New Roman" w:hAnsi="Times New Roman"/>
          <w:color w:val="000000"/>
          <w:sz w:val="20"/>
        </w:rPr>
        <w:t xml:space="preserve"> </w:t>
      </w:r>
      <w:r>
        <w:rPr>
          <w:rFonts w:ascii="Times New Roman" w:hAnsi="Times New Roman"/>
          <w:color w:val="000000"/>
          <w:sz w:val="22"/>
        </w:rPr>
        <w:t>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 at trading@.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Exceptions to the Blackout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above prohibitions do not apply to:</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2"/>
        </w:rPr>
        <w:t>purchases of the Company’s securities from the Company, or sales of the Company’s securities to the Company, including contributions made through the Employee Stock Purchase Plan (the “</w:t>
      </w:r>
      <w:r>
        <w:rPr>
          <w:rFonts w:ascii="Times New Roman" w:hAnsi="Times New Roman"/>
          <w:b/>
          <w:i/>
          <w:color w:val="000000"/>
          <w:sz w:val="22"/>
        </w:rPr>
        <w:t>ESPP</w:t>
      </w:r>
      <w:r>
        <w:rPr>
          <w:color w:val="000000"/>
        </w:rPr>
        <w:t>”</w:t>
      </w:r>
      <w:r>
        <w:rPr>
          <w:rFonts w:ascii="Times New Roman" w:hAnsi="Times New Roman"/>
          <w:color w:val="000000"/>
          <w:sz w:val="22"/>
        </w:rPr>
        <w:t>) and the Company’s 401(k) plan (where applicable). Changes to the ESPP’s contribution amounts are permitted as set forth in the ESPP;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Company stock option or other equity award through a broker does involve a market sale of the Company’s securities, and therefore would not qualify under this exception;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grants pursuant to a court order, such as those resulting from legal judgments or settlements;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gifts of the Company’s securities, unless the individual making the gift knows, or is reckless in not knowing, the recipient intends to sell the securities while the donor is in possession of MNPI about the Company; or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purchases or sales of the Company’s securities made pursuant to a plan adopted to comply with the Exchange Act Rule 10b5-1 (“</w:t>
      </w:r>
      <w:r>
        <w:rPr>
          <w:rFonts w:ascii="Times New Roman" w:hAnsi="Times New Roman"/>
          <w:b/>
          <w:i/>
          <w:color w:val="000000"/>
          <w:sz w:val="22"/>
        </w:rPr>
        <w:t>Rule 10b5-1</w:t>
      </w:r>
      <w:r>
        <w:rPr>
          <w:color w:val="000000"/>
        </w:rPr>
        <w:t>”</w:t>
      </w:r>
      <w:r>
        <w:rPr>
          <w:rFonts w:ascii="Times New Roman" w:hAnsi="Times New Roman"/>
          <w:color w:val="000000"/>
          <w:sz w:val="22"/>
        </w:rPr>
        <w:t xml:space="preserve">) and in accordance with the provisions set forth in Part VIII of this Policy.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Exceptions to the blackout period policy may be approved only by the Compliance Officer or, in the case of exceptions for directors, the Audit Committee of the board of directors of the Company (or, if the director is a member of the Audit Committee, the board of directors of the Company). Exceptions to the blackout period policy will generally not be made for personal hardship or liquidity needs.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u w:val="single"/>
        </w:rPr>
      </w:pPr>
      <w:r>
        <w:rPr>
          <w:rFonts w:ascii="Times New Roman" w:hAnsi="Times New Roman"/>
          <w:color w:val="000000"/>
          <w:sz w:val="22"/>
          <w:u w:val="single"/>
        </w:rPr>
        <w:t>Special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The Compliance Officer may recommend that directors, officers, employees, or others suspend trading in Company securities outside of the regular pre-earnings blackout period (such period, a “</w:t>
      </w:r>
      <w:r>
        <w:rPr>
          <w:rFonts w:ascii="Times New Roman" w:hAnsi="Times New Roman"/>
          <w:b/>
          <w:i/>
          <w:color w:val="000000"/>
          <w:sz w:val="22"/>
        </w:rPr>
        <w:t>Special Blackout Period</w:t>
      </w:r>
      <w:r>
        <w:rPr>
          <w:rFonts w:ascii="Times New Roman" w:hAnsi="Times New Roman"/>
          <w:color w:val="000000"/>
          <w:sz w:val="20"/>
        </w:rPr>
        <w:t>”</w:t>
      </w:r>
      <w:r>
        <w:rPr>
          <w:rFonts w:ascii="Times New Roman" w:hAnsi="Times New Roman"/>
          <w:color w:val="000000"/>
          <w:sz w:val="22"/>
        </w:rPr>
        <w:t>), because of developments that have not yet been disclosed to the public. Individuals who are subject to a Special Blackout Period will be notified when this Special Blackout Period closes and opens. Subject to the exceptions noted above, all of those individuals affected should not trade in the Company’s securities while the Special Blackout Period is in effect, and should not disclose to others that the Special Blackout Period exists.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Preclearance of Trades by Directors, Officers, and Employees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transactions in the Company’s securities by directors, officers, and employees listed on </w:t>
      </w:r>
      <w:r>
        <w:rPr>
          <w:rFonts w:ascii="Times New Roman" w:hAnsi="Times New Roman"/>
          <w:color w:val="000000"/>
          <w:sz w:val="22"/>
          <w:u w:val="single"/>
        </w:rPr>
        <w:t>Schedule II</w:t>
      </w:r>
      <w:r>
        <w:rPr>
          <w:rFonts w:ascii="Times New Roman" w:hAnsi="Times New Roman"/>
          <w:color w:val="000000"/>
          <w:sz w:val="20"/>
        </w:rPr>
        <w:t xml:space="preserve"> </w:t>
      </w:r>
      <w:r>
        <w:rPr>
          <w:rFonts w:ascii="Times New Roman" w:hAnsi="Times New Roman"/>
          <w:color w:val="000000"/>
          <w:sz w:val="22"/>
        </w:rPr>
        <w:t>(each, a “</w:t>
      </w:r>
      <w:r>
        <w:rPr>
          <w:rFonts w:ascii="Times New Roman" w:hAnsi="Times New Roman"/>
          <w:b/>
          <w:i/>
          <w:color w:val="000000"/>
          <w:sz w:val="22"/>
        </w:rPr>
        <w:t>Preclearance Person</w:t>
      </w:r>
      <w:r>
        <w:rPr>
          <w:rFonts w:ascii="Times New Roman" w:hAnsi="Times New Roman"/>
          <w:color w:val="000000"/>
          <w:sz w:val="20"/>
        </w:rPr>
        <w:t>”</w:t>
      </w:r>
      <w:r>
        <w:rPr>
          <w:rFonts w:ascii="Times New Roman" w:hAnsi="Times New Roman"/>
          <w:color w:val="000000"/>
          <w:sz w:val="22"/>
        </w:rPr>
        <w:t>) must be precleared by the Compliance Officer (or the Chief Financial Officer for transactions by the Compliance Officer). Preclearance should not be understood to represent legal advice by the Company that a proposed transaction complies with the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request for preclearance must be in writing to trading@,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MNPI about the Company. The Compliance Officer, or the Chief Financial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MNPI,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 of the Company, the Compliance Officer, Chief Financial Officer, or the Company’s other employees will have any liability for any delay in reviewing, or refusal of, a request for preclearance.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Information is considered “</w:t>
      </w:r>
      <w:r>
        <w:rPr>
          <w:rFonts w:ascii="Times New Roman" w:hAnsi="Times New Roman"/>
          <w:b/>
          <w:i/>
          <w:color w:val="000000"/>
          <w:sz w:val="22"/>
        </w:rPr>
        <w:t>material</w:t>
      </w:r>
      <w:r>
        <w:rPr>
          <w:rFonts w:ascii="Times New Roman" w:hAnsi="Times New Roman"/>
          <w:color w:val="000000"/>
          <w:sz w:val="20"/>
        </w:rPr>
        <w:t xml:space="preserve">” </w:t>
      </w:r>
      <w:r>
        <w:rPr>
          <w:rFonts w:ascii="Times New Roman" w:hAnsi="Times New Roman"/>
          <w:color w:val="000000"/>
          <w:sz w:val="22"/>
        </w:rPr>
        <w:t>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Examples of material information may include (but are not limited to) information about: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corporate earnings or earnings forecasts;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significant business trends or metrics;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changes in business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possible mergers, acquisitions, tender offers, or dispositions;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gain or loss of significant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major new products or product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important business developments, such as major contract negotiations, awards or cancellations, or regarding strategic collaborations;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major changes in the Company’s management or the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significant borrowing or financing developments including pending public sales or offerings of debt or equity securities;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defaults on borrowings;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stock splits or dividends;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offerings of Company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bankruptcies;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cybersecurity or data security incidents;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significant litigation or regulatory actions.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are unsure whether information is material, you should either consult the Compliance Officer before making any decision to disclose such information (other than to persons who need to know it) or to trade in or recommend securities to which that information relates or assume that the information is material.</w:t>
      </w:r>
    </w:p>
    <w:p>
      <w:pPr>
        <w:pStyle w:val="TextBody"/>
        <w:bidi w:val="0"/>
        <w:spacing w:before="0" w:after="240"/>
        <w:jc w:val="both"/>
        <w:rPr>
          <w:rFonts w:ascii="Times New Roman" w:hAnsi="Times New Roman"/>
          <w:sz w:val="20"/>
        </w:rPr>
      </w:pPr>
      <w:r>
        <w:rPr>
          <w:rFonts w:ascii="Times New Roman" w:hAnsi="Times New Roman"/>
          <w:color w:val="000000"/>
          <w:sz w:val="22"/>
        </w:rPr>
        <w:t>Information is “</w:t>
      </w:r>
      <w:r>
        <w:rPr>
          <w:rFonts w:ascii="Times New Roman" w:hAnsi="Times New Roman"/>
          <w:b/>
          <w:i/>
          <w:color w:val="000000"/>
          <w:sz w:val="22"/>
        </w:rPr>
        <w:t>nonpublic</w:t>
      </w:r>
      <w:r>
        <w:rPr>
          <w:rFonts w:ascii="Times New Roman" w:hAnsi="Times New Roman"/>
          <w:color w:val="000000"/>
          <w:sz w:val="20"/>
        </w:rPr>
        <w:t xml:space="preserve">” </w:t>
      </w:r>
      <w:r>
        <w:rPr>
          <w:rFonts w:ascii="Times New Roman" w:hAnsi="Times New Roman"/>
          <w:color w:val="000000"/>
          <w:sz w:val="22"/>
        </w:rPr>
        <w:t>if it is not available to the general public. In order for information to be considered “</w:t>
      </w:r>
      <w:r>
        <w:rPr>
          <w:rFonts w:ascii="Times New Roman" w:hAnsi="Times New Roman"/>
          <w:b/>
          <w:i/>
          <w:color w:val="000000"/>
          <w:sz w:val="22"/>
        </w:rPr>
        <w:t>public</w:t>
      </w:r>
      <w:r>
        <w:rPr>
          <w:rFonts w:ascii="Times New Roman" w:hAnsi="Times New Roman"/>
          <w:color w:val="000000"/>
          <w:sz w:val="22"/>
        </w:rPr>
        <w:t>,” it must be widely disseminated in a manner that makes it generally available to investors in a Regulation FD-compliant method, such as through a press release, a filing with the U.S. Securities and Exchange Commission (the “</w:t>
      </w:r>
      <w:r>
        <w:rPr>
          <w:rFonts w:ascii="Times New Roman" w:hAnsi="Times New Roman"/>
          <w:b/>
          <w:i/>
          <w:color w:val="000000"/>
          <w:sz w:val="22"/>
        </w:rPr>
        <w:t>SEC</w:t>
      </w:r>
      <w:r>
        <w:rPr>
          <w:rFonts w:ascii="Times New Roman" w:hAnsi="Times New Roman"/>
          <w:color w:val="000000"/>
          <w:sz w:val="20"/>
        </w:rPr>
        <w:t>”</w:t>
      </w:r>
      <w:r>
        <w:rPr>
          <w:rFonts w:ascii="Times New Roman" w:hAnsi="Times New Roman"/>
          <w:color w:val="000000"/>
          <w:sz w:val="22"/>
        </w:rPr>
        <w:t>) or a Regulation FD-compliant conference call. The Compliance Officer shall have sole discretion to decide whether information is public for purposes of this Policy.</w:t>
      </w:r>
    </w:p>
    <w:p>
      <w:pPr>
        <w:pStyle w:val="TextBody"/>
        <w:bidi w:val="0"/>
        <w:spacing w:before="0" w:after="240"/>
        <w:jc w:val="both"/>
        <w:rPr>
          <w:rFonts w:ascii="Times New Roman" w:hAnsi="Times New Roman"/>
          <w:sz w:val="20"/>
        </w:rPr>
      </w:pPr>
      <w:r>
        <w:rPr>
          <w:rFonts w:ascii="Times New Roman" w:hAnsi="Times New Roman"/>
          <w:color w:val="000000"/>
          <w:sz w:val="22"/>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release of the information to the public, is a reasonable waiting period before such information is deemed to be public.</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VI.</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Post-Termination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an individual is in possession of MNPI when the individual’s employment or service with the Company terminates, the individual may not trade in the Company’s securities until that information has become public or is no longer material.</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VII.</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Prohibited Transactions</w:t>
      </w:r>
    </w:p>
    <w:p>
      <w:pPr>
        <w:pStyle w:val="TextBody"/>
        <w:bidi w:val="0"/>
        <w:spacing w:before="0" w:after="240"/>
        <w:jc w:val="both"/>
        <w:rPr>
          <w:rFonts w:ascii="Times New Roman" w:hAnsi="Times New Roman"/>
          <w:sz w:val="20"/>
        </w:rPr>
      </w:pPr>
      <w:r>
        <w:rPr>
          <w:rFonts w:ascii="Times New Roman" w:hAnsi="Times New Roman"/>
          <w:color w:val="000000"/>
          <w:sz w:val="22"/>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Short Sales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Options Trading</w:t>
      </w:r>
    </w:p>
    <w:p>
      <w:pPr>
        <w:pStyle w:val="TextBody"/>
        <w:bidi w:val="0"/>
        <w:spacing w:before="0" w:after="240"/>
        <w:jc w:val="both"/>
        <w:rPr>
          <w:rFonts w:ascii="Times New Roman" w:hAnsi="Times New Roman"/>
          <w:sz w:val="20"/>
        </w:rPr>
      </w:pPr>
      <w:r>
        <w:rPr>
          <w:rFonts w:ascii="Times New Roman" w:hAnsi="Times New Roman"/>
          <w:color w:val="000000"/>
          <w:sz w:val="22"/>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MNPI. Transactions in options, whether traded on an exchange, on an over-the-counter market, or any other organized market, also may focus a Covered Person’s attention on short-term performance at the expense of the Company’s long-term objectives.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Hedging Transactions</w:t>
      </w:r>
    </w:p>
    <w:p>
      <w:pPr>
        <w:pStyle w:val="TextBody"/>
        <w:bidi w:val="0"/>
        <w:spacing w:before="0" w:after="240"/>
        <w:jc w:val="both"/>
        <w:rPr>
          <w:rFonts w:ascii="Times New Roman" w:hAnsi="Times New Roman"/>
          <w:sz w:val="20"/>
        </w:rPr>
      </w:pPr>
      <w:r>
        <w:rPr>
          <w:rFonts w:ascii="Times New Roman" w:hAnsi="Times New Roman"/>
          <w:color w:val="000000"/>
          <w:sz w:val="22"/>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Margin Accounts and Pledging</w:t>
      </w:r>
    </w:p>
    <w:p>
      <w:pPr>
        <w:pStyle w:val="TextBody"/>
        <w:bidi w:val="0"/>
        <w:spacing w:before="0" w:after="240"/>
        <w:jc w:val="both"/>
        <w:rPr>
          <w:rFonts w:ascii="Times New Roman" w:hAnsi="Times New Roman"/>
          <w:sz w:val="20"/>
        </w:rPr>
      </w:pPr>
      <w:r>
        <w:rPr>
          <w:rFonts w:ascii="Times New Roman" w:hAnsi="Times New Roman"/>
          <w:color w:val="000000"/>
          <w:sz w:val="22"/>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Company’s equity plans, nor to pledges that were in place prior to the initial effective date of this Policy nor to situations approved in advance by the Compliance Officer.</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u w:val="single"/>
        </w:rPr>
      </w:pPr>
      <w:r>
        <w:rPr>
          <w:rFonts w:ascii="Times New Roman" w:hAnsi="Times New Roman"/>
          <w:color w:val="000000"/>
          <w:sz w:val="22"/>
          <w:u w:val="single"/>
        </w:rPr>
        <w:t>Partnership Distributions</w:t>
      </w:r>
      <w:bookmarkStart w:id="61" w:name="bookmark_id_2et92p0"/>
      <w:bookmarkEnd w:id="6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VIII.</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Rule 10b5-1 Trading Plans</w:t>
      </w:r>
    </w:p>
    <w:p>
      <w:pPr>
        <w:pStyle w:val="TextBody"/>
        <w:bidi w:val="0"/>
        <w:spacing w:before="0" w:after="240"/>
        <w:jc w:val="both"/>
        <w:rPr>
          <w:rFonts w:ascii="Times New Roman" w:hAnsi="Times New Roman"/>
          <w:sz w:val="20"/>
        </w:rPr>
      </w:pPr>
      <w:r>
        <w:rPr>
          <w:rFonts w:ascii="Times New Roman" w:hAnsi="Times New Roman"/>
          <w:color w:val="000000"/>
          <w:sz w:val="22"/>
        </w:rPr>
        <w:t>The trading restrictions set forth in this Policy, other than those transactions described under “</w:t>
      </w:r>
      <w:r>
        <w:rPr>
          <w:rFonts w:ascii="Times New Roman" w:hAnsi="Times New Roman"/>
          <w:b/>
          <w:i/>
          <w:color w:val="000000"/>
          <w:sz w:val="22"/>
        </w:rPr>
        <w:t>Prohibited Transactions</w:t>
      </w:r>
      <w:r>
        <w:rPr>
          <w:rFonts w:ascii="Times New Roman" w:hAnsi="Times New Roman"/>
          <w:color w:val="000000"/>
          <w:sz w:val="22"/>
        </w:rPr>
        <w:t>,” do not apply to transactions under a previously established contract, plan or instruction to trade in the Company’s securities entered into in accordance with Rule 10b5-1 (a “</w:t>
      </w:r>
      <w:r>
        <w:rPr>
          <w:rFonts w:ascii="Times New Roman" w:hAnsi="Times New Roman"/>
          <w:b/>
          <w:i/>
          <w:color w:val="000000"/>
          <w:sz w:val="22"/>
        </w:rPr>
        <w:t>Trading Plan</w:t>
      </w:r>
      <w:r>
        <w:rPr>
          <w:rFonts w:ascii="Times New Roman" w:hAnsi="Times New Roman"/>
          <w:color w:val="000000"/>
          <w:sz w:val="20"/>
        </w:rPr>
        <w:t>”</w:t>
      </w:r>
      <w:r>
        <w:rPr>
          <w:rFonts w:ascii="Times New Roman" w:hAnsi="Times New Roman"/>
          <w:color w:val="000000"/>
          <w:sz w:val="22"/>
        </w:rPr>
        <w:t>) that: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has been submitted to and preapproved by the Compliance Officer;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includes a “Cooling Off Period” for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Section 16 reporting persons that extends to the later of 90 days after adoption or modification of a Trading Plan or two business days after filing the Form 10-K or Form 10-Q covering the fiscal quarter in which the Trading Plan was adopted, up to a maximum of 120 days; and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employees and any other persons, other than the Company, that extends 30 days after adoption or modification of a Trading Plan;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for Section 16 reporting persons, includes a representation in the Trading Plan that the Section 16 reporting person is (1) not aware of any MNPI about the Company or its securities; and (2) adopting the Trading Plan in good faith and not as part of a plan or scheme to evade Rule 10b-5;</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has been entered into in good faith at a time when the individual was not in possession of MNPI about the Company and not otherwise in a blackout period, and the person who entered into the Trading Plan has acted in good faith with respect to the Trading Plan;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complies with all other applicable requirements of Rule 10b5-1.</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An individual may only modify a Trading Plan outside of a blackout period and, in any event, when the individual does not possess MNPI. Modifications to and terminations of a Trading Plan are subject to preapproval by the Compliance Officer and modifications of a Trading Plan that change the amount, price,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or timing of the purchase or sale of the securities underlying a Trading Plan will trigger a new Cooling-Off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of the Company, in its discretion, determines that such suspension, discontinuation, or other prohibition is in the best interests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IX.</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 xml:space="preserve">Interpretation, Amendment, and Implementation of this Policy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Actions taken by the Company, the Compliance Officer, or any other Company personnel do not constitute legal advice, nor do they insulate you from the consequences of noncompliance with this Policy or with securities laws.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X.</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Certification of Compliance</w:t>
      </w:r>
    </w:p>
    <w:p>
      <w:pPr>
        <w:pStyle w:val="TextBody"/>
        <w:bidi w:val="0"/>
        <w:spacing w:before="0" w:after="240"/>
        <w:jc w:val="both"/>
        <w:rPr>
          <w:rFonts w:ascii="Times New Roman" w:hAnsi="Times New Roman"/>
          <w:sz w:val="20"/>
        </w:rPr>
      </w:pPr>
      <w:r>
        <w:rPr>
          <w:rFonts w:ascii="Times New Roman" w:hAnsi="Times New Roman"/>
          <w:color w:val="000000"/>
          <w:sz w:val="22"/>
        </w:rPr>
        <w:t>All directors, officers, employees, and others subject to this Policy may be asked periodically to certify their compliance with the terms and provisions of this Policy.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ttan-ex21_1.htm"/>
      <w:bookmarkStart w:id="63" w:name="ksttanex21_1"/>
      <w:bookmarkEnd w:id="62"/>
      <w:bookmarkEnd w:id="63"/>
      <w:r>
        <w:rPr>
          <w:rFonts w:ascii="Times New Roman" w:hAnsi="Times New Roman"/>
          <w:b/>
          <w:color w:val="000000"/>
          <w:sz w:val="20"/>
        </w:rPr>
        <w:t>Exhibit 21.1</w:t>
      </w:r>
      <w:r>
        <w:br w:type="page"/>
      </w:r>
    </w:p>
    <w:tbl>
      <w:tblPr>
        <w:tblW w:w="6508" w:type="dxa"/>
        <w:jc w:val="left"/>
        <w:tblInd w:w="0" w:type="dxa"/>
        <w:tblLayout w:type="fixed"/>
        <w:tblCellMar>
          <w:top w:w="28" w:type="dxa"/>
          <w:left w:w="28" w:type="dxa"/>
          <w:bottom w:w="28" w:type="dxa"/>
          <w:right w:w="28" w:type="dxa"/>
        </w:tblCellMar>
      </w:tblPr>
      <w:tblGrid>
        <w:gridCol w:w="4141"/>
        <w:gridCol w:w="146"/>
        <w:gridCol w:w="222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Subsidiary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Jurisdiction of Organization</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ServiceTitan Arevelk Limited Liability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Republic of Armenia</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Pro.Net,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Aspire,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Field Service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ServiceTitan Software Canada 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Canada</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ServiceTitan International,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Convex Labs,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Conduit Tech,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Item 601(b)(21)(ii) of Regulation S-K, the names of certain other subsidiaries of ServiceTitan, Inc. are omitted because, considered in the aggregate, they would not constitute a significant subsidiary as of the end of the year covered by this report.</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64" w:name="ttan-ex23_1.htm"/>
      <w:bookmarkStart w:id="65" w:name="ksttanex23_1"/>
      <w:bookmarkEnd w:id="64"/>
      <w:bookmarkEnd w:id="65"/>
      <w:r>
        <w:rPr>
          <w:rFonts w:ascii="Times New Roman" w:hAnsi="Times New Roman"/>
          <w:b/>
          <w:color w:val="000000"/>
          <w:sz w:val="20"/>
        </w:rPr>
        <w:t>Exhibit 23.1</w:t>
      </w:r>
      <w:r>
        <w:br w:type="page"/>
      </w:r>
    </w:p>
    <w:p>
      <w:pPr>
        <w:pStyle w:val="TextBody"/>
        <w:bidi w:val="0"/>
        <w:spacing w:before="0" w:after="16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333-283742, 333-286329, and 333-290997) of ServiceTitan, Inc. of our report dated March 25, 2026 relating to the financial statements and the effectiveness of internal control over financial reporting, which appears in this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Los Angeles, California</w:t>
      </w:r>
    </w:p>
    <w:p>
      <w:pPr>
        <w:pStyle w:val="TextBody"/>
        <w:bidi w:val="0"/>
        <w:jc w:val="left"/>
        <w:rPr>
          <w:rFonts w:ascii="Times New Roman" w:hAnsi="Times New Roman"/>
          <w:color w:val="000000"/>
          <w:sz w:val="20"/>
        </w:rPr>
      </w:pPr>
      <w:r>
        <w:rPr>
          <w:rFonts w:ascii="Times New Roman" w:hAnsi="Times New Roman"/>
          <w:color w:val="000000"/>
          <w:sz w:val="20"/>
        </w:rPr>
        <w:t>March 25,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6" w:name="ttan-ex31_1.htm"/>
      <w:bookmarkStart w:id="67" w:name="ksttanex31_1"/>
      <w:bookmarkEnd w:id="66"/>
      <w:bookmarkEnd w:id="67"/>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Ara Mahdessian,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12" w:type="dxa"/>
        <w:jc w:val="left"/>
        <w:tblInd w:w="0" w:type="dxa"/>
        <w:tblLayout w:type="fixed"/>
        <w:tblCellMar>
          <w:top w:w="28" w:type="dxa"/>
          <w:left w:w="28" w:type="dxa"/>
          <w:bottom w:w="28" w:type="dxa"/>
          <w:right w:w="28" w:type="dxa"/>
        </w:tblCellMar>
      </w:tblPr>
      <w:tblGrid>
        <w:gridCol w:w="1891"/>
        <w:gridCol w:w="109"/>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8" w:name="ttan-ex31_2.htm"/>
      <w:bookmarkStart w:id="69" w:name="ksttanex31_2"/>
      <w:bookmarkEnd w:id="68"/>
      <w:bookmarkEnd w:id="69"/>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Dave Sherry,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ServiceTitan,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927" w:type="dxa"/>
        <w:jc w:val="left"/>
        <w:tblInd w:w="0" w:type="dxa"/>
        <w:tblLayout w:type="fixed"/>
        <w:tblCellMar>
          <w:top w:w="28" w:type="dxa"/>
          <w:left w:w="28" w:type="dxa"/>
          <w:bottom w:w="28" w:type="dxa"/>
          <w:right w:w="28" w:type="dxa"/>
        </w:tblCellMar>
      </w:tblPr>
      <w:tblGrid>
        <w:gridCol w:w="1891"/>
        <w:gridCol w:w="109"/>
        <w:gridCol w:w="406"/>
        <w:gridCol w:w="252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0" w:name="ttan-ex32_1.htm"/>
      <w:bookmarkStart w:id="71" w:name="ksttanex32_1"/>
      <w:bookmarkEnd w:id="70"/>
      <w:bookmarkEnd w:id="7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on Form 10-K of ServiceTitan, Inc. (the “Company”) for the fiscal year ended January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4912" w:type="dxa"/>
        <w:jc w:val="left"/>
        <w:tblInd w:w="0" w:type="dxa"/>
        <w:tblLayout w:type="fixed"/>
        <w:tblCellMar>
          <w:top w:w="28" w:type="dxa"/>
          <w:left w:w="28" w:type="dxa"/>
          <w:bottom w:w="28" w:type="dxa"/>
          <w:right w:w="28" w:type="dxa"/>
        </w:tblCellMar>
      </w:tblPr>
      <w:tblGrid>
        <w:gridCol w:w="1891"/>
        <w:gridCol w:w="109"/>
        <w:gridCol w:w="406"/>
        <w:gridCol w:w="250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Ara Mahdessian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Ara Mahdessian</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2" w:name="ttan-ex32_2.htm"/>
      <w:bookmarkStart w:id="73" w:name="ksttanex32_2"/>
      <w:bookmarkEnd w:id="72"/>
      <w:bookmarkEnd w:id="73"/>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Annual Report on Form 10-K of ServiceTitan, Inc. (the “Company”) for the fiscal year ended January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tbl>
      <w:tblPr>
        <w:tblW w:w="4927" w:type="dxa"/>
        <w:jc w:val="left"/>
        <w:tblInd w:w="0" w:type="dxa"/>
        <w:tblLayout w:type="fixed"/>
        <w:tblCellMar>
          <w:top w:w="28" w:type="dxa"/>
          <w:left w:w="28" w:type="dxa"/>
          <w:bottom w:w="28" w:type="dxa"/>
          <w:right w:w="28" w:type="dxa"/>
        </w:tblCellMar>
      </w:tblPr>
      <w:tblGrid>
        <w:gridCol w:w="1891"/>
        <w:gridCol w:w="109"/>
        <w:gridCol w:w="406"/>
        <w:gridCol w:w="252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Dave Sherry</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w:t>
            </w:r>
            <w:r>
              <w:rPr>
                <w:rFonts w:ascii="Times New Roman" w:hAnsi="Times New Roman"/>
                <w:color w:val="000000"/>
                <w:sz w:val="20"/>
              </w:rPr>
              <w:t>)</w:t>
            </w:r>
          </w:p>
        </w:tc>
      </w:tr>
    </w:tbl>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4" w:name="ttan-ex97_1.htm"/>
      <w:bookmarkStart w:id="75" w:name="ksttanex97_1"/>
      <w:bookmarkEnd w:id="74"/>
      <w:bookmarkEnd w:id="75"/>
      <w:r>
        <w:rPr>
          <w:rFonts w:ascii="Times New Roman" w:hAnsi="Times New Roman"/>
          <w:b/>
          <w:color w:val="000000"/>
          <w:sz w:val="20"/>
        </w:rPr>
        <w:t>Exhibit 97.1</w:t>
      </w:r>
      <w:r>
        <w:rPr>
          <w:rFonts w:ascii="Times New Roman" w:hAnsi="Times New Roman"/>
          <w:color w:val="000000"/>
          <w:sz w:val="20"/>
        </w:rPr>
        <w:t xml:space="preserve"> </w:t>
      </w:r>
      <w:r>
        <w:br w:type="page"/>
      </w:r>
    </w:p>
    <w:p>
      <w:pPr>
        <w:pStyle w:val="TextBody"/>
        <w:bidi w:val="0"/>
        <w:spacing w:before="463" w:after="283"/>
        <w:jc w:val="center"/>
        <w:rPr>
          <w:rFonts w:ascii="Times New Roman" w:hAnsi="Times New Roman"/>
          <w:sz w:val="20"/>
        </w:rPr>
      </w:pPr>
      <w:r>
        <w:rPr>
          <w:rFonts w:ascii="Times New Roman" w:hAnsi="Times New Roman"/>
          <w:b/>
          <w:color w:val="000000"/>
          <w:sz w:val="22"/>
        </w:rPr>
        <w:t>SERVICETITAN,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POLICY FOR RECOVERY OF ERRONEOUSLY AWARDED COMPENSATION</w:t>
      </w:r>
      <w:r>
        <w:rPr>
          <w:rFonts w:ascii="Times New Roman" w:hAnsi="Times New Roman"/>
          <w:color w:val="000000"/>
          <w:sz w:val="20"/>
        </w:rPr>
        <w:t xml:space="preserve"> </w:t>
      </w:r>
    </w:p>
    <w:p>
      <w:pPr>
        <w:pStyle w:val="TextBody"/>
        <w:bidi w:val="0"/>
        <w:spacing w:before="249" w:after="283"/>
        <w:jc w:val="both"/>
        <w:rPr>
          <w:rFonts w:ascii="Times New Roman" w:hAnsi="Times New Roman"/>
          <w:sz w:val="20"/>
        </w:rPr>
      </w:pPr>
      <w:r>
        <w:rPr>
          <w:rFonts w:ascii="Times New Roman" w:hAnsi="Times New Roman"/>
          <w:color w:val="000000"/>
          <w:sz w:val="22"/>
        </w:rPr>
        <w:t>ServiceTitan,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has adopted this Policy for Recovery of Erroneously Awarded Compensation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effective as of December 11, 2024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Capitalized terms used in this Policy but not otherwise defined in the text of this policy are defined in Section 11.</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I. Persons Subject to Policy</w:t>
      </w:r>
      <w:r>
        <w:rPr>
          <w:rFonts w:ascii="Times New Roman" w:hAnsi="Times New Roman"/>
          <w:color w:val="000000"/>
          <w:sz w:val="20"/>
        </w:rPr>
        <w:t xml:space="preserve"> </w:t>
      </w:r>
    </w:p>
    <w:p>
      <w:pPr>
        <w:pStyle w:val="TextBody"/>
        <w:bidi w:val="0"/>
        <w:spacing w:before="236" w:after="283"/>
        <w:jc w:val="left"/>
        <w:rPr>
          <w:rFonts w:ascii="Times New Roman" w:hAnsi="Times New Roman"/>
          <w:sz w:val="20"/>
        </w:rPr>
      </w:pPr>
      <w:r>
        <w:rPr>
          <w:rFonts w:ascii="Times New Roman" w:hAnsi="Times New Roman"/>
          <w:color w:val="000000"/>
          <w:sz w:val="22"/>
        </w:rPr>
        <w:t>This Policy shall apply to current and former Officers of the Company.</w:t>
      </w:r>
      <w:r>
        <w:rPr>
          <w:rFonts w:ascii="Times New Roman" w:hAnsi="Times New Roman"/>
          <w:color w:val="000000"/>
          <w:sz w:val="20"/>
        </w:rPr>
        <w:t xml:space="preserve"> </w:t>
      </w:r>
    </w:p>
    <w:p>
      <w:pPr>
        <w:pStyle w:val="TextBody"/>
        <w:bidi w:val="0"/>
        <w:spacing w:before="236" w:after="283"/>
        <w:jc w:val="left"/>
        <w:rPr>
          <w:rFonts w:ascii="Times New Roman" w:hAnsi="Times New Roman"/>
          <w:sz w:val="20"/>
        </w:rPr>
      </w:pPr>
      <w:r>
        <w:rPr>
          <w:rFonts w:ascii="Times New Roman" w:hAnsi="Times New Roman"/>
          <w:b/>
          <w:color w:val="000000"/>
          <w:sz w:val="22"/>
        </w:rPr>
        <w:t>II. Compensation Subject to Policy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shall apply to Incentive-Based Compensation received on or after the Effective Date. For purposes of this Policy, the date on which Incentive-Based Compensation is “</w:t>
      </w:r>
      <w:r>
        <w:rPr>
          <w:rFonts w:ascii="Times New Roman" w:hAnsi="Times New Roman"/>
          <w:b/>
          <w:i/>
          <w:color w:val="000000"/>
          <w:sz w:val="22"/>
        </w:rPr>
        <w:t>received</w:t>
      </w:r>
      <w:r>
        <w:rPr>
          <w:rFonts w:ascii="Times New Roman" w:hAnsi="Times New Roman"/>
          <w:color w:val="000000"/>
          <w:sz w:val="20"/>
        </w:rPr>
        <w:t xml:space="preserve">” </w:t>
      </w:r>
      <w:r>
        <w:rPr>
          <w:rFonts w:ascii="Times New Roman" w:hAnsi="Times New Roman"/>
          <w:color w:val="000000"/>
          <w:sz w:val="22"/>
        </w:rPr>
        <w:t>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III. Recovery of Compensation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IV. Manner of Recovery; Limitation on Duplicative Recovery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2"/>
        </w:rPr>
        <w:t>V. Administration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spacing w:before="236" w:after="283"/>
        <w:jc w:val="both"/>
        <w:rPr>
          <w:rFonts w:ascii="Times New Roman" w:hAnsi="Times New Roman"/>
          <w:sz w:val="20"/>
        </w:rPr>
      </w:pPr>
      <w:r>
        <w:rPr>
          <w:rFonts w:ascii="Times New Roman" w:hAnsi="Times New Roman"/>
          <w:color w:val="000000"/>
          <w:sz w:val="22"/>
        </w:rPr>
        <w:t>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VI. Interpretation</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VII. No Indemnification; No Personal Liability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VIII. Application; Enforceability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hAnsi="Times New Roman"/>
          <w:b/>
          <w:i/>
          <w:color w:val="000000"/>
          <w:sz w:val="22"/>
        </w:rPr>
        <w:t>Other Recovery Arrangements</w:t>
      </w:r>
      <w:r>
        <w:rPr>
          <w:rFonts w:ascii="Times New Roman" w:hAnsi="Times New Roman"/>
          <w:color w:val="000000"/>
          <w:sz w:val="20"/>
        </w:rPr>
        <w:t>”</w:t>
      </w:r>
      <w:r>
        <w:rPr>
          <w:rFonts w:ascii="Times New Roman" w:hAnsi="Times New Roman"/>
          <w:color w:val="000000"/>
          <w:sz w:val="22"/>
        </w:rPr>
        <w:t>). The remedy specified in this Policy shall not be exclusive and shall be in addition to every other right or remedy at law or in equity that may be available to the Company or an affiliate of the Company.</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IX. Severability</w:t>
      </w:r>
      <w:r>
        <w:rPr>
          <w:rFonts w:ascii="Times New Roman" w:hAnsi="Times New Roman"/>
          <w:color w:val="000000"/>
          <w:sz w:val="20"/>
        </w:rPr>
        <w:t xml:space="preserve"> </w:t>
      </w:r>
    </w:p>
    <w:p>
      <w:pPr>
        <w:pStyle w:val="TextBody"/>
        <w:bidi w:val="0"/>
        <w:spacing w:before="236" w:after="283"/>
        <w:jc w:val="both"/>
        <w:rPr>
          <w:rFonts w:ascii="Times New Roman" w:hAnsi="Times New Roman"/>
          <w:sz w:val="20"/>
        </w:rPr>
      </w:pPr>
      <w:r>
        <w:rPr>
          <w:rFonts w:ascii="Times New Roman" w:hAnsi="Times New Roman"/>
          <w:color w:val="000000"/>
          <w:sz w:val="22"/>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X. Amendment and Termination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b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the extent that any provision of the Applicable Rules is no longer in effect or applicable to the Company.</w:t>
      </w:r>
      <w:r>
        <w:rPr>
          <w:rFonts w:ascii="Times New Roman" w:hAnsi="Times New Roman"/>
          <w:color w:val="000000"/>
          <w:sz w:val="20"/>
        </w:rPr>
        <w:t xml:space="preserve"> </w:t>
      </w:r>
    </w:p>
    <w:p>
      <w:pPr>
        <w:pStyle w:val="TextBody"/>
        <w:bidi w:val="0"/>
        <w:spacing w:before="245" w:after="283"/>
        <w:jc w:val="left"/>
        <w:rPr>
          <w:rFonts w:ascii="Times New Roman" w:hAnsi="Times New Roman"/>
          <w:sz w:val="20"/>
        </w:rPr>
      </w:pPr>
      <w:r>
        <w:rPr>
          <w:rFonts w:ascii="Times New Roman" w:hAnsi="Times New Roman"/>
          <w:b/>
          <w:color w:val="000000"/>
          <w:sz w:val="22"/>
        </w:rPr>
        <w:t>XI. Definitions</w:t>
      </w:r>
      <w:r>
        <w:rPr>
          <w:rFonts w:ascii="Times New Roman" w:hAnsi="Times New Roman"/>
          <w:color w:val="000000"/>
          <w:sz w:val="20"/>
        </w:rPr>
        <w:t xml:space="preserve"> </w:t>
      </w:r>
    </w:p>
    <w:p>
      <w:pPr>
        <w:pStyle w:val="TextBody"/>
        <w:bidi w:val="0"/>
        <w:spacing w:before="176" w:after="283"/>
        <w:jc w:val="both"/>
        <w:rPr/>
      </w:pPr>
      <w:r>
        <w:rPr>
          <w:color w:val="000000"/>
        </w:rPr>
        <w:t>“</w:t>
      </w:r>
      <w:r>
        <w:rPr>
          <w:rFonts w:ascii="Times New Roman" w:hAnsi="Times New Roman"/>
          <w:b/>
          <w:i/>
          <w:color w:val="000000"/>
          <w:sz w:val="22"/>
        </w:rPr>
        <w:t>Applicable Rules</w:t>
      </w:r>
      <w:r>
        <w:rPr>
          <w:rFonts w:ascii="Times New Roman" w:hAnsi="Times New Roman"/>
          <w:color w:val="000000"/>
          <w:sz w:val="20"/>
        </w:rPr>
        <w:t xml:space="preserve">” </w:t>
      </w:r>
      <w:r>
        <w:rPr>
          <w:rFonts w:ascii="Times New Roman" w:hAnsi="Times New Roman"/>
          <w:color w:val="000000"/>
          <w:sz w:val="22"/>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spacing w:before="168" w:after="283"/>
        <w:jc w:val="both"/>
        <w:rPr/>
      </w:pPr>
      <w:r>
        <w:rPr>
          <w:color w:val="000000"/>
        </w:rPr>
        <w:t>“</w:t>
      </w:r>
      <w:r>
        <w:rPr>
          <w:rFonts w:ascii="Times New Roman" w:hAnsi="Times New Roman"/>
          <w:b/>
          <w:i/>
          <w:color w:val="000000"/>
          <w:sz w:val="22"/>
        </w:rPr>
        <w:t>Committee</w:t>
      </w:r>
      <w:r>
        <w:rPr>
          <w:rFonts w:ascii="Times New Roman" w:hAnsi="Times New Roman"/>
          <w:color w:val="000000"/>
          <w:sz w:val="20"/>
        </w:rPr>
        <w:t xml:space="preserve">” </w:t>
      </w:r>
      <w:r>
        <w:rPr>
          <w:rFonts w:ascii="Times New Roman" w:hAnsi="Times New Roman"/>
          <w:color w:val="000000"/>
          <w:sz w:val="22"/>
        </w:rPr>
        <w:t>means the committee of the Board responsible for executive compensation decisions comprised solely of independent directors (as determined under the Applicable Rules), or in the absence of such a committee, a majority of the independent directors serving on the Board.</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Erroneously Awarded Compensation</w:t>
      </w:r>
      <w:r>
        <w:rPr>
          <w:rFonts w:ascii="Times New Roman" w:hAnsi="Times New Roman"/>
          <w:color w:val="000000"/>
          <w:sz w:val="20"/>
        </w:rPr>
        <w:t xml:space="preserve">” </w:t>
      </w:r>
      <w:r>
        <w:rPr>
          <w:rFonts w:ascii="Times New Roman" w:hAnsi="Times New Roman"/>
          <w:color w:val="000000"/>
          <w:sz w:val="22"/>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r>
        <w:rPr>
          <w:rFonts w:ascii="Times New Roman" w:hAnsi="Times New Roman"/>
          <w:color w:val="000000"/>
          <w:sz w:val="20"/>
        </w:rPr>
        <w:t xml:space="preserve"> </w:t>
      </w:r>
    </w:p>
    <w:p>
      <w:pPr>
        <w:pStyle w:val="TextBody"/>
        <w:bidi w:val="0"/>
        <w:spacing w:before="245" w:after="283"/>
        <w:jc w:val="left"/>
        <w:rPr/>
      </w:pPr>
      <w:r>
        <w:rPr>
          <w:color w:val="000000"/>
        </w:rPr>
        <w:t>“</w:t>
      </w:r>
      <w:r>
        <w:rPr>
          <w:rFonts w:ascii="Times New Roman" w:hAnsi="Times New Roman"/>
          <w:b/>
          <w:i/>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Securities Exchange Act of 1934, as amended.</w:t>
      </w:r>
      <w:r>
        <w:rPr>
          <w:rFonts w:ascii="Times New Roman" w:hAnsi="Times New Roman"/>
          <w:color w:val="000000"/>
          <w:sz w:val="20"/>
        </w:rPr>
        <w:t xml:space="preserve"> </w:t>
      </w:r>
    </w:p>
    <w:p>
      <w:pPr>
        <w:pStyle w:val="TextBody"/>
        <w:bidi w:val="0"/>
        <w:spacing w:before="236" w:after="283"/>
        <w:jc w:val="both"/>
        <w:rPr/>
      </w:pPr>
      <w:r>
        <w:rPr>
          <w:color w:val="000000"/>
        </w:rPr>
        <w:t>“</w:t>
      </w:r>
      <w:r>
        <w:rPr>
          <w:rFonts w:ascii="Times New Roman" w:hAnsi="Times New Roman"/>
          <w:b/>
          <w:i/>
          <w:color w:val="000000"/>
          <w:sz w:val="22"/>
        </w:rPr>
        <w:t>Financial Reporting Measure</w:t>
      </w:r>
      <w:r>
        <w:rPr>
          <w:rFonts w:ascii="Times New Roman" w:hAnsi="Times New Roman"/>
          <w:color w:val="000000"/>
          <w:sz w:val="20"/>
        </w:rPr>
        <w:t xml:space="preserve">” </w:t>
      </w:r>
      <w:r>
        <w:rPr>
          <w:rFonts w:ascii="Times New Roman" w:hAnsi="Times New Roman"/>
          <w:color w:val="000000"/>
          <w:sz w:val="22"/>
        </w:rPr>
        <w:t>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GAAP</w:t>
      </w:r>
      <w:r>
        <w:rPr>
          <w:rFonts w:ascii="Times New Roman" w:hAnsi="Times New Roman"/>
          <w:color w:val="000000"/>
          <w:sz w:val="20"/>
        </w:rPr>
        <w:t xml:space="preserve">” </w:t>
      </w:r>
      <w:r>
        <w:rPr>
          <w:rFonts w:ascii="Times New Roman" w:hAnsi="Times New Roman"/>
          <w:color w:val="000000"/>
          <w:sz w:val="22"/>
        </w:rPr>
        <w:t>means United States generally accepted accounting principles.</w:t>
      </w:r>
      <w:r>
        <w:rPr>
          <w:rFonts w:ascii="Times New Roman" w:hAnsi="Times New Roman"/>
          <w:color w:val="000000"/>
          <w:sz w:val="20"/>
        </w:rPr>
        <w:t xml:space="preserve"> </w:t>
      </w:r>
    </w:p>
    <w:p>
      <w:pPr>
        <w:pStyle w:val="TextBody"/>
        <w:bidi w:val="0"/>
        <w:spacing w:before="236" w:after="283"/>
        <w:jc w:val="both"/>
        <w:rPr/>
      </w:pPr>
      <w:r>
        <w:rPr>
          <w:color w:val="000000"/>
        </w:rPr>
        <w:t>“</w:t>
      </w:r>
      <w:r>
        <w:rPr>
          <w:rFonts w:ascii="Times New Roman" w:hAnsi="Times New Roman"/>
          <w:b/>
          <w:i/>
          <w:color w:val="000000"/>
          <w:sz w:val="22"/>
        </w:rPr>
        <w:t>IFRS</w:t>
      </w:r>
      <w:r>
        <w:rPr>
          <w:rFonts w:ascii="Times New Roman" w:hAnsi="Times New Roman"/>
          <w:color w:val="000000"/>
          <w:sz w:val="20"/>
        </w:rPr>
        <w:t xml:space="preserve">” </w:t>
      </w:r>
      <w:r>
        <w:rPr>
          <w:rFonts w:ascii="Times New Roman" w:hAnsi="Times New Roman"/>
          <w:color w:val="000000"/>
          <w:sz w:val="22"/>
        </w:rPr>
        <w:t>means international financial reporting standards as adopted by the International Accounting Standards Board.</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Impracticable</w:t>
      </w:r>
      <w:r>
        <w:rPr>
          <w:rFonts w:ascii="Times New Roman" w:hAnsi="Times New Roman"/>
          <w:color w:val="000000"/>
          <w:sz w:val="20"/>
        </w:rPr>
        <w:t xml:space="preserve">” </w:t>
      </w:r>
      <w:r>
        <w:rPr>
          <w:rFonts w:ascii="Times New Roman" w:hAnsi="Times New Roman"/>
          <w:color w:val="000000"/>
          <w:sz w:val="22"/>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w:t>
      </w:r>
    </w:p>
    <w:p>
      <w:pPr>
        <w:pStyle w:val="TextBody"/>
        <w:bidi w:val="0"/>
        <w:jc w:val="left"/>
        <w:rPr>
          <w:rFonts w:ascii="Times New Roman" w:hAnsi="Times New Roman"/>
          <w:sz w:val="20"/>
        </w:rPr>
      </w:pPr>
      <w:r>
        <w:rPr>
          <w:rFonts w:ascii="Times New Roman" w:hAnsi="Times New Roman"/>
          <w:color w:val="000000"/>
          <w:sz w:val="22"/>
        </w:rPr>
        <w:t>securities listed on a national securities exchange or association; and (d) during the applicable Three-Year Period.</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Officer</w:t>
      </w:r>
      <w:r>
        <w:rPr>
          <w:rFonts w:ascii="Times New Roman" w:hAnsi="Times New Roman"/>
          <w:color w:val="000000"/>
          <w:sz w:val="20"/>
        </w:rPr>
        <w:t xml:space="preserve">” </w:t>
      </w:r>
      <w:r>
        <w:rPr>
          <w:rFonts w:ascii="Times New Roman" w:hAnsi="Times New Roman"/>
          <w:color w:val="000000"/>
          <w:sz w:val="22"/>
        </w:rPr>
        <w:t>means each person who serves as an executive officer of the Company, as defined in Rule 10D-1(d) under the Exchange Act.</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Restatement</w:t>
      </w:r>
      <w:r>
        <w:rPr>
          <w:rFonts w:ascii="Times New Roman" w:hAnsi="Times New Roman"/>
          <w:color w:val="000000"/>
          <w:sz w:val="20"/>
        </w:rPr>
        <w:t xml:space="preserve">” </w:t>
      </w:r>
      <w:r>
        <w:rPr>
          <w:rFonts w:ascii="Times New Roman" w:hAnsi="Times New Roman"/>
          <w:color w:val="000000"/>
          <w:sz w:val="22"/>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 w:hAnsi="Times New Roman"/>
          <w:color w:val="000000"/>
          <w:sz w:val="20"/>
        </w:rPr>
        <w:t xml:space="preserve"> </w:t>
      </w:r>
    </w:p>
    <w:p>
      <w:pPr>
        <w:pStyle w:val="TextBody"/>
        <w:bidi w:val="0"/>
        <w:spacing w:before="245" w:after="283"/>
        <w:jc w:val="both"/>
        <w:rPr/>
      </w:pPr>
      <w:r>
        <w:rPr>
          <w:color w:val="000000"/>
        </w:rPr>
        <w:t>“</w:t>
      </w:r>
      <w:r>
        <w:rPr>
          <w:rFonts w:ascii="Times New Roman" w:hAnsi="Times New Roman"/>
          <w:b/>
          <w:i/>
          <w:color w:val="000000"/>
          <w:sz w:val="22"/>
        </w:rPr>
        <w:t>Three-Year Period</w:t>
      </w:r>
      <w:r>
        <w:rPr>
          <w:rFonts w:ascii="Times New Roman" w:hAnsi="Times New Roman"/>
          <w:color w:val="000000"/>
          <w:sz w:val="20"/>
        </w:rPr>
        <w:t xml:space="preserve">” </w:t>
      </w:r>
      <w:r>
        <w:rPr>
          <w:rFonts w:ascii="Times New Roman" w:hAnsi="Times New Roman"/>
          <w:color w:val="000000"/>
          <w:sz w:val="22"/>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day of its new fiscal year that comprises a period of nine to 12 months shall be deemed a completed fiscal year.</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ACKNOWLEDGMENT AND CONSENT TO</w:t>
      </w:r>
      <w:r>
        <w:rPr>
          <w:rFonts w:ascii="Times New Roman" w:hAnsi="Times New Roman"/>
          <w:color w:val="000000"/>
          <w:sz w:val="20"/>
        </w:rPr>
        <w:t xml:space="preserve"> </w:t>
      </w:r>
    </w:p>
    <w:p>
      <w:pPr>
        <w:pStyle w:val="TextBody"/>
        <w:bidi w:val="0"/>
        <w:spacing w:before="16" w:after="283"/>
        <w:jc w:val="center"/>
        <w:rPr>
          <w:rFonts w:ascii="Times New Roman" w:hAnsi="Times New Roman"/>
          <w:sz w:val="20"/>
        </w:rPr>
      </w:pPr>
      <w:r>
        <w:rPr>
          <w:rFonts w:ascii="Times New Roman" w:hAnsi="Times New Roman"/>
          <w:b/>
          <w:color w:val="000000"/>
          <w:sz w:val="22"/>
        </w:rPr>
        <w:t>POLICY FOR RECOVERY OF ERRONEOUSLY AWARDED COMPENSATION</w:t>
      </w:r>
      <w:r>
        <w:rPr>
          <w:rFonts w:ascii="Times New Roman" w:hAnsi="Times New Roman"/>
          <w:color w:val="000000"/>
          <w:sz w:val="20"/>
        </w:rPr>
        <w:t xml:space="preserve"> </w:t>
      </w:r>
    </w:p>
    <w:p>
      <w:pPr>
        <w:pStyle w:val="TextBody"/>
        <w:bidi w:val="0"/>
        <w:spacing w:before="449" w:after="283"/>
        <w:jc w:val="left"/>
        <w:rPr>
          <w:rFonts w:ascii="Times New Roman" w:hAnsi="Times New Roman"/>
          <w:sz w:val="20"/>
        </w:rPr>
      </w:pPr>
      <w:r>
        <w:rPr>
          <w:rFonts w:ascii="Times New Roman" w:hAnsi="Times New Roman"/>
          <w:color w:val="000000"/>
          <w:sz w:val="22"/>
        </w:rPr>
        <w:t>The undersigned has received a copy of the Policy for Recovery of Erroneously Awarded Compensation (the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adopted by ServiceTitan,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68" w:after="283"/>
        <w:jc w:val="both"/>
        <w:rPr>
          <w:rFonts w:ascii="Times New Roman" w:hAnsi="Times New Roman"/>
          <w:sz w:val="20"/>
        </w:rPr>
      </w:pPr>
      <w:r>
        <w:rPr>
          <w:rFonts w:ascii="Times New Roman" w:hAnsi="Times New Roman"/>
          <w:color w:val="000000"/>
          <w:sz w:val="22"/>
        </w:rPr>
        <w:t>For good and valuable consideration, the receipt of which is acknowledged, the undersigned hereby agrees, to the extent that the Policy is authorized and required by Applicable Rules (as defined in the Policy),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and (iv) the undersigned expressly waives any rights to such indemnification under the Company’s organizational documents or otherwise.</w:t>
      </w:r>
      <w:r>
        <w:rPr>
          <w:rFonts w:ascii="Times New Roman" w:hAnsi="Times New Roman"/>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720" w:after="283"/>
        <w:jc w:val="left"/>
        <w:rPr>
          <w:rFonts w:ascii="Times New Roman" w:hAnsi="Times New Roman"/>
          <w:sz w:val="20"/>
        </w:rPr>
      </w:pPr>
      <w:r>
        <w:rPr>
          <w:rFonts w:ascii="Times New Roman" w:hAnsi="Times New Roman"/>
          <w:color w:val="000000"/>
          <w:sz w:val="22"/>
        </w:rPr>
        <w:t>____________________________</w:t>
        <w:br/>
        <w:t>Date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____________________________Signature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____________________________Name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____________________________Title</w:t>
      </w:r>
      <w:r>
        <w:rPr>
          <w:rFonts w:ascii="Times New Roman" w:hAnsi="Times New Roman"/>
          <w:color w:val="000000"/>
          <w:sz w:val="20"/>
        </w:rPr>
        <w:t xml:space="preserve"> </w:t>
      </w:r>
    </w:p>
    <w:p>
      <w:pPr>
        <w:pStyle w:val="TextBody"/>
        <w:bidi w:val="0"/>
        <w:spacing w:before="468" w:after="283"/>
        <w:jc w:val="left"/>
        <w:rPr/>
      </w:pPr>
      <w:r>
        <w:rPr/>
        <w:t> </w:t>
      </w:r>
    </w:p>
    <w:p>
      <w:pPr>
        <w:pStyle w:val="TextBody"/>
        <w:bidi w:val="0"/>
        <w:spacing w:before="468"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8826/000119312524278469/d918320dex31.htm" TargetMode="External"/><Relationship Id="rId4" Type="http://schemas.openxmlformats.org/officeDocument/2006/relationships/hyperlink" Target="https://www.sec.gov/Archives/edgar/data/1638826/000119312524278469/d918320dex32.htm" TargetMode="External"/><Relationship Id="rId5" Type="http://schemas.openxmlformats.org/officeDocument/2006/relationships/hyperlink" Target="https://www.sec.gov/Archives/edgar/data/1638826/000119312524260611/d577298dex42.htm" TargetMode="External"/><Relationship Id="rId6" Type="http://schemas.openxmlformats.org/officeDocument/2006/relationships/hyperlink" Target="https://www.sec.gov/Archives/edgar/data/1638826/000119312524276164/d877864dex46.htm" TargetMode="External"/><Relationship Id="rId7" Type="http://schemas.openxmlformats.org/officeDocument/2006/relationships/hyperlink" Target="https://www.sec.gov/Archives/edgar/data/1638826/000119312524260611/d577298dex43.htm" TargetMode="External"/><Relationship Id="rId8" Type="http://schemas.openxmlformats.org/officeDocument/2006/relationships/hyperlink" Target="https://www.sec.gov/Archives/edgar/data/1638826/000119312524260611/d577298dex101.htm" TargetMode="External"/><Relationship Id="rId9" Type="http://schemas.openxmlformats.org/officeDocument/2006/relationships/hyperlink" Target="https://www.sec.gov/Archives/edgar/data/1638826/000119312524260611/d577298dex101.htm" TargetMode="External"/><Relationship Id="rId10" Type="http://schemas.openxmlformats.org/officeDocument/2006/relationships/hyperlink" Target="https://www.sec.gov/Archives/edgar/data/1638826/000119312525245227/ttan-ex99_1.pdf" TargetMode="External"/><Relationship Id="rId11" Type="http://schemas.openxmlformats.org/officeDocument/2006/relationships/hyperlink" Target="https://www.sec.gov/Archives/edgar/data/1638826/000119312524260611/d577298dex104.htm" TargetMode="External"/><Relationship Id="rId12" Type="http://schemas.openxmlformats.org/officeDocument/2006/relationships/hyperlink" Target="https://www.sec.gov/Archives/edgar/data/1638826/000119312524260611/d577298dex104.htm" TargetMode="External"/><Relationship Id="rId13" Type="http://schemas.openxmlformats.org/officeDocument/2006/relationships/hyperlink" Target="https://www.sec.gov/Archives/edgar/data/1638826/000119312524260611/d577298dex105.htm" TargetMode="External"/><Relationship Id="rId14" Type="http://schemas.openxmlformats.org/officeDocument/2006/relationships/hyperlink" Target="https://www.sec.gov/Archives/edgar/data/1638826/000119312524260611/d577298dex105.htm" TargetMode="External"/><Relationship Id="rId15" Type="http://schemas.openxmlformats.org/officeDocument/2006/relationships/hyperlink" Target="https://www.sec.gov/Archives/edgar/data/1638826/000119312524260611/d577298dex106.htm" TargetMode="External"/><Relationship Id="rId16" Type="http://schemas.openxmlformats.org/officeDocument/2006/relationships/hyperlink" Target="https://www.sec.gov/Archives/edgar/data/1638826/000119312524260611/d577298dex106.htm" TargetMode="External"/><Relationship Id="rId17" Type="http://schemas.openxmlformats.org/officeDocument/2006/relationships/hyperlink" Target="https://www.sec.gov/Archives/edgar/data/1638826/000119312524260611/d577298dex106.htm" TargetMode="External"/><Relationship Id="rId18" Type="http://schemas.openxmlformats.org/officeDocument/2006/relationships/hyperlink" Target="https://www.sec.gov/Archives/edgar/data/1638826/000119312524260611/d577298dex106.htm" TargetMode="External"/><Relationship Id="rId19" Type="http://schemas.openxmlformats.org/officeDocument/2006/relationships/hyperlink" Target="https://www.sec.gov/Archives/edgar/data/1638826/000119312524260611/d577298dex107.htm" TargetMode="External"/><Relationship Id="rId20" Type="http://schemas.openxmlformats.org/officeDocument/2006/relationships/hyperlink" Target="https://www.sec.gov/Archives/edgar/data/1638826/000119312524260611/d577298dex107.htm" TargetMode="External"/><Relationship Id="rId21" Type="http://schemas.openxmlformats.org/officeDocument/2006/relationships/hyperlink" Target="https://www.sec.gov/Archives/edgar/data/1638826/000119312524260611/d577298dex109a.htm" TargetMode="External"/><Relationship Id="rId22" Type="http://schemas.openxmlformats.org/officeDocument/2006/relationships/hyperlink" Target="https://www.sec.gov/Archives/edgar/data/1638826/000119312524260611/d577298dex109a.htm" TargetMode="External"/><Relationship Id="rId23" Type="http://schemas.openxmlformats.org/officeDocument/2006/relationships/hyperlink" Target="https://www.sec.gov/Archives/edgar/data/1638826/000119312524260611/d577298dex109b.htm" TargetMode="External"/><Relationship Id="rId24" Type="http://schemas.openxmlformats.org/officeDocument/2006/relationships/hyperlink" Target="https://www.sec.gov/Archives/edgar/data/1638826/000119312524260611/d577298dex109b.htm" TargetMode="External"/><Relationship Id="rId25" Type="http://schemas.openxmlformats.org/officeDocument/2006/relationships/hyperlink" Target="https://www.sec.gov/Archives/edgar/data/1638826/000119312524260611/d577298dex1010.htm" TargetMode="External"/><Relationship Id="rId26" Type="http://schemas.openxmlformats.org/officeDocument/2006/relationships/hyperlink" Target="https://www.sec.gov/Archives/edgar/data/1638826/000119312524260611/d577298dex1010.htm" TargetMode="External"/><Relationship Id="rId27" Type="http://schemas.openxmlformats.org/officeDocument/2006/relationships/hyperlink" Target="https://www.sec.gov/Archives/edgar/data/1638826/000119312524260611/d577298dex1011.htm" TargetMode="External"/><Relationship Id="rId28" Type="http://schemas.openxmlformats.org/officeDocument/2006/relationships/hyperlink" Target="https://www.sec.gov/Archives/edgar/data/1638826/000119312524260611/d577298dex1011.htm" TargetMode="External"/><Relationship Id="rId29" Type="http://schemas.openxmlformats.org/officeDocument/2006/relationships/hyperlink" Target="https://www.sec.gov/Archives/edgar/data/1638826/000119312524260611/d577298dex1012.htm" TargetMode="External"/><Relationship Id="rId30" Type="http://schemas.openxmlformats.org/officeDocument/2006/relationships/hyperlink" Target="https://www.sec.gov/Archives/edgar/data/1638826/000119312524260611/d577298dex1012.htm" TargetMode="External"/><Relationship Id="rId31" Type="http://schemas.openxmlformats.org/officeDocument/2006/relationships/hyperlink" Target="https://www.sec.gov/Archives/edgar/data/1638826/000095017025048834/ttan-ex19_1.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237640</Words>
  <Characters>1290592</Characters>
  <CharactersWithSpaces>1528220</CharactersWithSpaces>
  <Paragraphs>15538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