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 filed with the Securities and Exchange Commission on October 21, 2025</w:t>
      </w:r>
    </w:p>
    <w:p>
      <w:pPr>
        <w:spacing w:after="0" w:line="28" w:lineRule="exact"/>
        <w:rPr>
          <w:sz w:val="24"/>
          <w:szCs w:val="24"/>
          <w:color w:val="auto"/>
        </w:rPr>
      </w:pPr>
    </w:p>
    <w:p>
      <w:pPr>
        <w:ind w:left="9180"/>
        <w:spacing w:after="0"/>
        <w:tabs>
          <w:tab w:leader="none" w:pos="10820" w:val="left"/>
        </w:tabs>
        <w:rPr>
          <w:sz w:val="20"/>
          <w:szCs w:val="20"/>
          <w:color w:val="auto"/>
        </w:rPr>
      </w:pPr>
      <w:r>
        <w:rPr>
          <w:rFonts w:ascii="Times New Roman" w:cs="Times New Roman" w:eastAsia="Times New Roman" w:hAnsi="Times New Roman"/>
          <w:sz w:val="16"/>
          <w:szCs w:val="16"/>
          <w:b w:val="1"/>
          <w:bCs w:val="1"/>
          <w:color w:val="auto"/>
        </w:rPr>
        <w:t>Registration No. 333-</w:t>
      </w:r>
      <w:r>
        <w:rPr>
          <w:rFonts w:ascii="Times New Roman" w:cs="Times New Roman" w:eastAsia="Times New Roman" w:hAnsi="Times New Roman"/>
          <w:sz w:val="17"/>
          <w:szCs w:val="17"/>
          <w:b w:val="1"/>
          <w:bCs w:val="1"/>
          <w:color w:val="auto"/>
        </w:rPr>
        <w:t xml:space="preserve"> </w:t>
      </w:r>
      <w:r>
        <w:rPr>
          <w:sz w:val="20"/>
          <w:szCs w:val="20"/>
          <w:color w:val="auto"/>
        </w:rPr>
        <w:tab/>
      </w:r>
      <w:r>
        <w:rPr>
          <w:rFonts w:ascii="Times New Roman" w:cs="Times New Roman" w:eastAsia="Times New Roman" w:hAnsi="Times New Roman"/>
          <w:sz w:val="18"/>
          <w:szCs w:val="18"/>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S-8</w:t>
      </w:r>
    </w:p>
    <w:p>
      <w:pPr>
        <w:spacing w:after="0" w:line="3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REGISTRATION STATEMENT</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ServiceTitan, Inc.</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7760" w:type="dxa"/>
            <w:vAlign w:val="bottom"/>
          </w:tcPr>
          <w:p>
            <w:pPr>
              <w:jc w:val="center"/>
              <w:ind w:right="13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tcPr>
          <w:p>
            <w:pPr>
              <w:jc w:val="center"/>
              <w:ind w:right="1222"/>
              <w:spacing w:after="0"/>
              <w:rPr>
                <w:sz w:val="20"/>
                <w:szCs w:val="20"/>
                <w:color w:val="auto"/>
              </w:rPr>
            </w:pPr>
            <w:r>
              <w:rPr>
                <w:rFonts w:ascii="Times New Roman" w:cs="Times New Roman" w:eastAsia="Times New Roman" w:hAnsi="Times New Roman"/>
                <w:sz w:val="18"/>
                <w:szCs w:val="18"/>
                <w:b w:val="1"/>
                <w:bCs w:val="1"/>
                <w:color w:val="auto"/>
                <w:w w:val="98"/>
              </w:rPr>
              <w:t>26-0331862</w:t>
            </w:r>
          </w:p>
        </w:tc>
      </w:tr>
      <w:tr>
        <w:trPr>
          <w:trHeight w:val="148"/>
        </w:trPr>
        <w:tc>
          <w:tcPr>
            <w:tcW w:w="7760" w:type="dxa"/>
            <w:vAlign w:val="bottom"/>
          </w:tcPr>
          <w:p>
            <w:pPr>
              <w:jc w:val="center"/>
              <w:ind w:right="13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right="12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760" w:type="dxa"/>
            <w:vAlign w:val="bottom"/>
          </w:tcPr>
          <w:p>
            <w:pPr>
              <w:jc w:val="center"/>
              <w:ind w:right="13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jc w:val="center"/>
              <w:ind w:right="12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12"/>
        </w:trPr>
        <w:tc>
          <w:tcPr>
            <w:tcW w:w="7760" w:type="dxa"/>
            <w:vAlign w:val="bottom"/>
          </w:tcPr>
          <w:p>
            <w:pPr>
              <w:jc w:val="center"/>
              <w:ind w:left="3398"/>
              <w:spacing w:after="0"/>
              <w:rPr>
                <w:sz w:val="20"/>
                <w:szCs w:val="20"/>
                <w:color w:val="auto"/>
              </w:rPr>
            </w:pPr>
            <w:r>
              <w:rPr>
                <w:rFonts w:ascii="Times New Roman" w:cs="Times New Roman" w:eastAsia="Times New Roman" w:hAnsi="Times New Roman"/>
                <w:sz w:val="18"/>
                <w:szCs w:val="18"/>
                <w:b w:val="1"/>
                <w:bCs w:val="1"/>
                <w:color w:val="auto"/>
              </w:rPr>
              <w:t>800 N. Brand Blvd.</w:t>
            </w:r>
          </w:p>
        </w:tc>
        <w:tc>
          <w:tcPr>
            <w:tcW w:w="3480" w:type="dxa"/>
            <w:vAlign w:val="bottom"/>
          </w:tcPr>
          <w:p>
            <w:pPr>
              <w:spacing w:after="0"/>
              <w:rPr>
                <w:sz w:val="24"/>
                <w:szCs w:val="24"/>
                <w:color w:val="auto"/>
              </w:rPr>
            </w:pPr>
          </w:p>
        </w:tc>
      </w:tr>
      <w:tr>
        <w:trPr>
          <w:trHeight w:val="216"/>
        </w:trPr>
        <w:tc>
          <w:tcPr>
            <w:tcW w:w="7760" w:type="dxa"/>
            <w:vAlign w:val="bottom"/>
          </w:tcPr>
          <w:p>
            <w:pPr>
              <w:jc w:val="center"/>
              <w:ind w:left="3418"/>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3480" w:type="dxa"/>
            <w:vAlign w:val="bottom"/>
          </w:tcPr>
          <w:p>
            <w:pPr>
              <w:spacing w:after="0"/>
              <w:rPr>
                <w:sz w:val="18"/>
                <w:szCs w:val="18"/>
                <w:color w:val="auto"/>
              </w:rPr>
            </w:pPr>
          </w:p>
        </w:tc>
      </w:tr>
      <w:tr>
        <w:trPr>
          <w:trHeight w:val="214"/>
        </w:trPr>
        <w:tc>
          <w:tcPr>
            <w:tcW w:w="7760" w:type="dxa"/>
            <w:vAlign w:val="bottom"/>
          </w:tcPr>
          <w:p>
            <w:pPr>
              <w:jc w:val="center"/>
              <w:ind w:left="3418"/>
              <w:spacing w:after="0"/>
              <w:rPr>
                <w:sz w:val="20"/>
                <w:szCs w:val="20"/>
                <w:color w:val="auto"/>
              </w:rPr>
            </w:pPr>
            <w:r>
              <w:rPr>
                <w:rFonts w:ascii="Times New Roman" w:cs="Times New Roman" w:eastAsia="Times New Roman" w:hAnsi="Times New Roman"/>
                <w:sz w:val="18"/>
                <w:szCs w:val="18"/>
                <w:b w:val="1"/>
                <w:bCs w:val="1"/>
                <w:color w:val="auto"/>
                <w:w w:val="99"/>
              </w:rPr>
              <w:t>Glendale, California 91203</w:t>
            </w:r>
          </w:p>
        </w:tc>
        <w:tc>
          <w:tcPr>
            <w:tcW w:w="3480" w:type="dxa"/>
            <w:vAlign w:val="bottom"/>
          </w:tcPr>
          <w:p>
            <w:pPr>
              <w:spacing w:after="0"/>
              <w:rPr>
                <w:sz w:val="18"/>
                <w:szCs w:val="18"/>
                <w:color w:val="auto"/>
              </w:rPr>
            </w:pPr>
          </w:p>
        </w:tc>
      </w:tr>
      <w:tr>
        <w:trPr>
          <w:trHeight w:val="190"/>
        </w:trPr>
        <w:tc>
          <w:tcPr>
            <w:tcW w:w="7760" w:type="dxa"/>
            <w:vAlign w:val="bottom"/>
          </w:tcPr>
          <w:p>
            <w:pPr>
              <w:jc w:val="center"/>
              <w:ind w:left="33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480" w:type="dxa"/>
            <w:vAlign w:val="bottom"/>
          </w:tcPr>
          <w:p>
            <w:pPr>
              <w:spacing w:after="0"/>
              <w:rPr>
                <w:sz w:val="16"/>
                <w:szCs w:val="16"/>
                <w:color w:val="auto"/>
              </w:rPr>
            </w:pPr>
          </w:p>
        </w:tc>
      </w:tr>
      <w:tr>
        <w:trPr>
          <w:trHeight w:val="64"/>
        </w:trPr>
        <w:tc>
          <w:tcPr>
            <w:tcW w:w="776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r>
      <w:tr>
        <w:trPr>
          <w:trHeight w:val="185"/>
        </w:trPr>
        <w:tc>
          <w:tcPr>
            <w:tcW w:w="7760" w:type="dxa"/>
            <w:vAlign w:val="bottom"/>
          </w:tcPr>
          <w:p>
            <w:pPr>
              <w:jc w:val="center"/>
              <w:ind w:left="3398"/>
              <w:spacing w:after="0" w:line="185" w:lineRule="exact"/>
              <w:rPr>
                <w:sz w:val="20"/>
                <w:szCs w:val="20"/>
                <w:color w:val="auto"/>
              </w:rPr>
            </w:pPr>
            <w:r>
              <w:rPr>
                <w:rFonts w:ascii="Times New Roman" w:cs="Times New Roman" w:eastAsia="Times New Roman" w:hAnsi="Times New Roman"/>
                <w:sz w:val="18"/>
                <w:szCs w:val="18"/>
                <w:b w:val="1"/>
                <w:bCs w:val="1"/>
                <w:color w:val="auto"/>
              </w:rPr>
              <w:t>Conduit Tech, Inc. 2022 Stock Plan</w:t>
            </w:r>
          </w:p>
        </w:tc>
        <w:tc>
          <w:tcPr>
            <w:tcW w:w="3480" w:type="dxa"/>
            <w:vAlign w:val="bottom"/>
          </w:tcPr>
          <w:p>
            <w:pPr>
              <w:spacing w:after="0"/>
              <w:rPr>
                <w:sz w:val="16"/>
                <w:szCs w:val="16"/>
                <w:color w:val="auto"/>
              </w:rPr>
            </w:pPr>
          </w:p>
        </w:tc>
      </w:tr>
      <w:tr>
        <w:trPr>
          <w:trHeight w:val="190"/>
        </w:trPr>
        <w:tc>
          <w:tcPr>
            <w:tcW w:w="7760" w:type="dxa"/>
            <w:vAlign w:val="bottom"/>
          </w:tcPr>
          <w:p>
            <w:pPr>
              <w:jc w:val="center"/>
              <w:ind w:left="3378"/>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c>
          <w:tcPr>
            <w:tcW w:w="3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Ara Mahdessian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800 N. Brand Blvd.</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Suite 100</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Glendale, California 91203</w:t>
      </w:r>
    </w:p>
    <w:p>
      <w:pPr>
        <w:jc w:val="center"/>
        <w:ind w:right="20"/>
        <w:spacing w:after="0" w:line="222" w:lineRule="auto"/>
        <w:rPr>
          <w:sz w:val="20"/>
          <w:szCs w:val="20"/>
          <w:color w:val="auto"/>
        </w:rPr>
      </w:pPr>
      <w:r>
        <w:rPr>
          <w:rFonts w:ascii="Times New Roman" w:cs="Times New Roman" w:eastAsia="Times New Roman" w:hAnsi="Times New Roman"/>
          <w:sz w:val="14"/>
          <w:szCs w:val="14"/>
          <w:b w:val="1"/>
          <w:bCs w:val="1"/>
          <w:color w:val="auto"/>
        </w:rPr>
        <w:t>(855) 899-0970</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7" w:lineRule="exact"/>
        <w:rPr>
          <w:sz w:val="24"/>
          <w:szCs w:val="24"/>
          <w:color w:val="auto"/>
        </w:rPr>
      </w:pPr>
    </w:p>
    <w:tbl>
      <w:tblPr>
        <w:tblLayout w:type="fixed"/>
        <w:tblInd w:w="230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50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245"/>
        </w:trPr>
        <w:tc>
          <w:tcPr>
            <w:tcW w:w="2440" w:type="dxa"/>
            <w:vAlign w:val="bottom"/>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Sharon R. Flanagan</w:t>
            </w:r>
          </w:p>
        </w:tc>
        <w:tc>
          <w:tcPr>
            <w:tcW w:w="5060" w:type="dxa"/>
            <w:vAlign w:val="bottom"/>
          </w:tcPr>
          <w:p>
            <w:pPr>
              <w:jc w:val="center"/>
              <w:ind w:left="3326"/>
              <w:spacing w:after="0"/>
              <w:rPr>
                <w:sz w:val="20"/>
                <w:szCs w:val="20"/>
                <w:color w:val="auto"/>
              </w:rPr>
            </w:pPr>
            <w:r>
              <w:rPr>
                <w:rFonts w:ascii="Times New Roman" w:cs="Times New Roman" w:eastAsia="Times New Roman" w:hAnsi="Times New Roman"/>
                <w:sz w:val="14"/>
                <w:szCs w:val="14"/>
                <w:b w:val="1"/>
                <w:bCs w:val="1"/>
                <w:color w:val="auto"/>
              </w:rPr>
              <w:t>Dave Sherry</w:t>
            </w:r>
          </w:p>
        </w:tc>
      </w:tr>
      <w:tr>
        <w:trPr>
          <w:trHeight w:val="148"/>
        </w:trPr>
        <w:tc>
          <w:tcPr>
            <w:tcW w:w="2440" w:type="dxa"/>
            <w:vAlign w:val="bottom"/>
          </w:tcPr>
          <w:p>
            <w:pPr>
              <w:jc w:val="center"/>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Sally Wagner Partin</w:t>
            </w:r>
          </w:p>
        </w:tc>
        <w:tc>
          <w:tcPr>
            <w:tcW w:w="5060" w:type="dxa"/>
            <w:vAlign w:val="bottom"/>
          </w:tcPr>
          <w:p>
            <w:pPr>
              <w:jc w:val="center"/>
              <w:ind w:left="3326"/>
              <w:spacing w:after="0" w:line="149" w:lineRule="exact"/>
              <w:rPr>
                <w:sz w:val="20"/>
                <w:szCs w:val="20"/>
                <w:color w:val="auto"/>
              </w:rPr>
            </w:pPr>
            <w:r>
              <w:rPr>
                <w:rFonts w:ascii="Times New Roman" w:cs="Times New Roman" w:eastAsia="Times New Roman" w:hAnsi="Times New Roman"/>
                <w:sz w:val="14"/>
                <w:szCs w:val="14"/>
                <w:b w:val="1"/>
                <w:bCs w:val="1"/>
                <w:color w:val="auto"/>
              </w:rPr>
              <w:t>Olive Huang</w:t>
            </w:r>
          </w:p>
        </w:tc>
      </w:tr>
      <w:tr>
        <w:trPr>
          <w:trHeight w:val="148"/>
        </w:trPr>
        <w:tc>
          <w:tcPr>
            <w:tcW w:w="2440" w:type="dxa"/>
            <w:vAlign w:val="bottom"/>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Sidley Austin LLP</w:t>
            </w:r>
          </w:p>
        </w:tc>
        <w:tc>
          <w:tcPr>
            <w:tcW w:w="5060" w:type="dxa"/>
            <w:vAlign w:val="bottom"/>
          </w:tcPr>
          <w:p>
            <w:pPr>
              <w:jc w:val="center"/>
              <w:ind w:left="3326"/>
              <w:spacing w:after="0" w:line="149" w:lineRule="exact"/>
              <w:rPr>
                <w:sz w:val="20"/>
                <w:szCs w:val="20"/>
                <w:color w:val="auto"/>
              </w:rPr>
            </w:pPr>
            <w:r>
              <w:rPr>
                <w:rFonts w:ascii="Times New Roman" w:cs="Times New Roman" w:eastAsia="Times New Roman" w:hAnsi="Times New Roman"/>
                <w:sz w:val="14"/>
                <w:szCs w:val="14"/>
                <w:b w:val="1"/>
                <w:bCs w:val="1"/>
                <w:color w:val="auto"/>
              </w:rPr>
              <w:t>ServiceTitan, Inc.</w:t>
            </w:r>
          </w:p>
        </w:tc>
      </w:tr>
      <w:tr>
        <w:trPr>
          <w:trHeight w:val="149"/>
        </w:trPr>
        <w:tc>
          <w:tcPr>
            <w:tcW w:w="2440" w:type="dxa"/>
            <w:vAlign w:val="bottom"/>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555 California Street</w:t>
            </w:r>
          </w:p>
        </w:tc>
        <w:tc>
          <w:tcPr>
            <w:tcW w:w="5060" w:type="dxa"/>
            <w:vAlign w:val="bottom"/>
          </w:tcPr>
          <w:p>
            <w:pPr>
              <w:jc w:val="center"/>
              <w:ind w:left="3326"/>
              <w:spacing w:after="0" w:line="149" w:lineRule="exact"/>
              <w:rPr>
                <w:sz w:val="20"/>
                <w:szCs w:val="20"/>
                <w:color w:val="auto"/>
              </w:rPr>
            </w:pPr>
            <w:r>
              <w:rPr>
                <w:rFonts w:ascii="Times New Roman" w:cs="Times New Roman" w:eastAsia="Times New Roman" w:hAnsi="Times New Roman"/>
                <w:sz w:val="14"/>
                <w:szCs w:val="14"/>
                <w:b w:val="1"/>
                <w:bCs w:val="1"/>
                <w:color w:val="auto"/>
              </w:rPr>
              <w:t>800 N. Brand Blvd.</w:t>
            </w:r>
          </w:p>
        </w:tc>
      </w:tr>
      <w:tr>
        <w:trPr>
          <w:trHeight w:val="148"/>
        </w:trPr>
        <w:tc>
          <w:tcPr>
            <w:tcW w:w="2440" w:type="dxa"/>
            <w:vAlign w:val="bottom"/>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Suite 2000</w:t>
            </w:r>
          </w:p>
        </w:tc>
        <w:tc>
          <w:tcPr>
            <w:tcW w:w="5060" w:type="dxa"/>
            <w:vAlign w:val="bottom"/>
          </w:tcPr>
          <w:p>
            <w:pPr>
              <w:jc w:val="center"/>
              <w:ind w:left="3306"/>
              <w:spacing w:after="0" w:line="149" w:lineRule="exact"/>
              <w:rPr>
                <w:sz w:val="20"/>
                <w:szCs w:val="20"/>
                <w:color w:val="auto"/>
              </w:rPr>
            </w:pPr>
            <w:r>
              <w:rPr>
                <w:rFonts w:ascii="Times New Roman" w:cs="Times New Roman" w:eastAsia="Times New Roman" w:hAnsi="Times New Roman"/>
                <w:sz w:val="14"/>
                <w:szCs w:val="14"/>
                <w:b w:val="1"/>
                <w:bCs w:val="1"/>
                <w:color w:val="auto"/>
              </w:rPr>
              <w:t>Suite 100</w:t>
            </w:r>
          </w:p>
        </w:tc>
      </w:tr>
      <w:tr>
        <w:trPr>
          <w:trHeight w:val="148"/>
        </w:trPr>
        <w:tc>
          <w:tcPr>
            <w:tcW w:w="2440" w:type="dxa"/>
            <w:vAlign w:val="bottom"/>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San Francisco, California 94104</w:t>
            </w:r>
          </w:p>
        </w:tc>
        <w:tc>
          <w:tcPr>
            <w:tcW w:w="5060" w:type="dxa"/>
            <w:vAlign w:val="bottom"/>
          </w:tcPr>
          <w:p>
            <w:pPr>
              <w:jc w:val="center"/>
              <w:ind w:left="3326"/>
              <w:spacing w:after="0" w:line="149" w:lineRule="exact"/>
              <w:rPr>
                <w:sz w:val="20"/>
                <w:szCs w:val="20"/>
                <w:color w:val="auto"/>
              </w:rPr>
            </w:pPr>
            <w:r>
              <w:rPr>
                <w:rFonts w:ascii="Times New Roman" w:cs="Times New Roman" w:eastAsia="Times New Roman" w:hAnsi="Times New Roman"/>
                <w:sz w:val="14"/>
                <w:szCs w:val="14"/>
                <w:b w:val="1"/>
                <w:bCs w:val="1"/>
                <w:color w:val="auto"/>
              </w:rPr>
              <w:t>Glendale, California 91203</w:t>
            </w:r>
          </w:p>
        </w:tc>
      </w:tr>
      <w:tr>
        <w:trPr>
          <w:trHeight w:val="190"/>
        </w:trPr>
        <w:tc>
          <w:tcPr>
            <w:tcW w:w="244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(415) 772-1200</w:t>
            </w:r>
          </w:p>
        </w:tc>
        <w:tc>
          <w:tcPr>
            <w:tcW w:w="5060" w:type="dxa"/>
            <w:vAlign w:val="bottom"/>
          </w:tcPr>
          <w:p>
            <w:pPr>
              <w:jc w:val="center"/>
              <w:ind w:left="3326"/>
              <w:spacing w:after="0"/>
              <w:rPr>
                <w:sz w:val="20"/>
                <w:szCs w:val="20"/>
                <w:color w:val="auto"/>
              </w:rPr>
            </w:pPr>
            <w:r>
              <w:rPr>
                <w:rFonts w:ascii="Times New Roman" w:cs="Times New Roman" w:eastAsia="Times New Roman" w:hAnsi="Times New Roman"/>
                <w:sz w:val="14"/>
                <w:szCs w:val="14"/>
                <w:b w:val="1"/>
                <w:bCs w:val="1"/>
                <w:color w:val="auto"/>
              </w:rPr>
              <w:t>(855) 899-0970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40" w:type="dxa"/>
            <w:vAlign w:val="bottom"/>
          </w:tcPr>
          <w:p>
            <w:pPr>
              <w:ind w:left="1600"/>
              <w:spacing w:after="0" w:line="161" w:lineRule="exact"/>
              <w:rPr>
                <w:sz w:val="20"/>
                <w:szCs w:val="20"/>
                <w:color w:val="auto"/>
              </w:rPr>
            </w:pPr>
            <w:r>
              <w:rPr>
                <w:rFonts w:ascii="MS PGothic" w:cs="MS PGothic" w:eastAsia="MS PGothic" w:hAnsi="MS PGothic"/>
                <w:sz w:val="16"/>
                <w:szCs w:val="16"/>
                <w:color w:val="auto"/>
              </w:rPr>
              <w:t>☐</w:t>
            </w:r>
          </w:p>
        </w:tc>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Accelerated filer</w:t>
            </w:r>
          </w:p>
        </w:tc>
        <w:tc>
          <w:tcPr>
            <w:tcW w:w="20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40" w:type="dxa"/>
            <w:vAlign w:val="bottom"/>
          </w:tcPr>
          <w:p>
            <w:pPr>
              <w:ind w:left="1600"/>
              <w:spacing w:after="0" w:line="161" w:lineRule="exact"/>
              <w:rPr>
                <w:sz w:val="20"/>
                <w:szCs w:val="20"/>
                <w:color w:val="auto"/>
              </w:rPr>
            </w:pPr>
            <w:r>
              <w:rPr>
                <w:rFonts w:ascii="MS PGothic" w:cs="MS PGothic" w:eastAsia="MS PGothic" w:hAnsi="MS PGothic"/>
                <w:sz w:val="16"/>
                <w:szCs w:val="16"/>
                <w:color w:val="auto"/>
              </w:rPr>
              <w:t>☒</w:t>
            </w:r>
          </w:p>
        </w:tc>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0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20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823595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ServiceTitan, Inc.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is filing this Registration Statement on Form S-8 (this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to register 40,310 additional shares of the Registrant’s Class A common stock, par value $0.001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issuable under the Conduit Tech, Inc. 2022 Stock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On October 3, 2025, Comet Acquisition Corp., a wholly owned subsidiary of the Registrant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merged with and into Conduit Tech, Inc. (“</w:t>
      </w:r>
      <w:r>
        <w:rPr>
          <w:rFonts w:ascii="Times New Roman" w:cs="Times New Roman" w:eastAsia="Times New Roman" w:hAnsi="Times New Roman"/>
          <w:sz w:val="18"/>
          <w:szCs w:val="18"/>
          <w:b w:val="1"/>
          <w:bCs w:val="1"/>
          <w:color w:val="auto"/>
        </w:rPr>
        <w:t>Conduit</w:t>
      </w:r>
      <w:r>
        <w:rPr>
          <w:rFonts w:ascii="Times New Roman" w:cs="Times New Roman" w:eastAsia="Times New Roman" w:hAnsi="Times New Roman"/>
          <w:sz w:val="18"/>
          <w:szCs w:val="18"/>
          <w:color w:val="auto"/>
        </w:rPr>
        <w:t>”), and Conduit became a wholly owned subsidiary of the Registrant, pursuant to a Merger Agreement, dated as of September 18, 2025, by and among the Registrant, Conduit, Merger Sub and Fortis Advisors LLC, solely in its capacity as stockholder representative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the terms of the Merger Agreement, the Registrant assumed the Plan, and each restricted stock unit of Conduit outstanding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held by an individual who was an employee of Conduit immediately following the closing of the transactions contemplated by the Merger Agreement was assumed by the Registrant and converted into a restricted stock unit of the Registrant to acquire Common Stock, on the same terms and conditions as the Conduit restricted stock unit. This Registration Statement relates to the 40,310 shares of Common Stock issuable pursuant to such converted Conduit restricted stock units outstanding as of October 3, 2025 under the Plan.</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prospectus containing information required by Part I of Form S-8 and related to this Registration Statement is omitted from this Registration Statement in accordance with the note to Part I of Form S-8. The Registrant will send or give to each holder of outstanding equity awards granted under the Plan a copy of the prospectus or documents containing information specified in Part I of Form S-8, as specified by Rule 428(b)(1)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accordance with the rules and regulations of the Commission, the prospectus for the Plan is not being filed with or included in this Registration Statement. The prospectus for the Plan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Commission:</w:t>
      </w:r>
    </w:p>
    <w:p>
      <w:pPr>
        <w:spacing w:after="0" w:line="117" w:lineRule="exact"/>
        <w:rPr>
          <w:sz w:val="20"/>
          <w:szCs w:val="20"/>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January 31, 2025, filed with the Commission on </w:t>
      </w:r>
      <w:hyperlink r:id="rId18">
        <w:r>
          <w:rPr>
            <w:rFonts w:ascii="Times New Roman" w:cs="Times New Roman" w:eastAsia="Times New Roman" w:hAnsi="Times New Roman"/>
            <w:sz w:val="18"/>
            <w:szCs w:val="18"/>
            <w:u w:val="single" w:color="auto"/>
            <w:color w:val="0000FF"/>
          </w:rPr>
          <w:t>April 2, 2025</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fiscal quarter ended April 30, 2025, filed with the Commission on </w:t>
      </w:r>
      <w:hyperlink r:id="rId19">
        <w:r>
          <w:rPr>
            <w:rFonts w:ascii="Times New Roman" w:cs="Times New Roman" w:eastAsia="Times New Roman" w:hAnsi="Times New Roman"/>
            <w:sz w:val="18"/>
            <w:szCs w:val="18"/>
            <w:u w:val="single" w:color="auto"/>
            <w:color w:val="0000FF"/>
          </w:rPr>
          <w:t>June 12, 2025</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
        </w:numPr>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auto"/>
          </w:rPr>
          <w:t xml:space="preserve">The Registrant’s Quarterly Report on Form 10-Q for the fiscal quarter ended July 31, 2025, filed with the Commission on </w:t>
        </w:r>
        <w:r>
          <w:rPr>
            <w:rFonts w:ascii="Times New Roman" w:cs="Times New Roman" w:eastAsia="Times New Roman" w:hAnsi="Times New Roman"/>
            <w:sz w:val="18"/>
            <w:szCs w:val="18"/>
            <w:u w:val="single" w:color="auto"/>
            <w:color w:val="0000FF"/>
          </w:rPr>
          <w:t>September 10,</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FF"/>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 on Form 8-K, filed with the Commission on </w:t>
      </w:r>
      <w:hyperlink r:id="rId21">
        <w:r>
          <w:rPr>
            <w:rFonts w:ascii="Times New Roman" w:cs="Times New Roman" w:eastAsia="Times New Roman" w:hAnsi="Times New Roman"/>
            <w:sz w:val="18"/>
            <w:szCs w:val="18"/>
            <w:u w:val="single" w:color="auto"/>
            <w:color w:val="0000FF"/>
          </w:rPr>
          <w:t>June 23, 2025</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Form 8-A (File No. 001-42434) filed with the Commission on </w:t>
      </w:r>
      <w:hyperlink r:id="rId22">
        <w:r>
          <w:rPr>
            <w:rFonts w:ascii="Times New Roman" w:cs="Times New Roman" w:eastAsia="Times New Roman" w:hAnsi="Times New Roman"/>
            <w:sz w:val="18"/>
            <w:szCs w:val="18"/>
            <w:u w:val="single" w:color="auto"/>
            <w:color w:val="0000FF"/>
          </w:rPr>
          <w:t>December 9, 2024</w:t>
        </w:r>
      </w:hyperlink>
      <w:r>
        <w:rPr>
          <w:rFonts w:ascii="Times New Roman" w:cs="Times New Roman" w:eastAsia="Times New Roman" w:hAnsi="Times New Roman"/>
          <w:sz w:val="18"/>
          <w:szCs w:val="18"/>
          <w:color w:val="auto"/>
        </w:rPr>
        <w:t>, pursuant to Section 12(b)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including any amendment or report filed for the purpose of updating such description.</w:t>
      </w:r>
    </w:p>
    <w:p>
      <w:pPr>
        <w:spacing w:after="0" w:line="176" w:lineRule="exact"/>
        <w:rPr>
          <w:rFonts w:ascii="Times New Roman" w:cs="Times New Roman" w:eastAsia="Times New Roman" w:hAnsi="Times New Roman"/>
          <w:sz w:val="18"/>
          <w:szCs w:val="18"/>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All reports and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reports and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permitted by Section 102(b)(7) of the Delaware General Corporation Law, the Registrant’s amended and restated certificate of incorporation includes provisions that may eliminate the personal liability of its directors and officers for monetary damages for breach of their fiduciary duty as directors and officers.</w:t>
      </w:r>
    </w:p>
    <w:p>
      <w:pPr>
        <w:spacing w:after="0" w:line="176"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the amended and restated certificate of incorporation and amended and restated bylaws of the Registrant provide that:</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in its discretion, indemnify employees and agents in those circumstances where indemnification is permitted by applicable law.</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will not be obligated pursuant to its amended and restated bylaws to indemnify a person with respect to proceedings initiated by that person, except with respect to proceedings authorized by the Registrant’s board of directors or brought to enforce a right to indemnification.</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amended and restated certificate of incorporation and amended and restated bylaws are not exclusive, and the Registrant is authorized to enter into indemnification agreements with its directors, officers, employees, and agents and to obtain insurance to indemnify such persons.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not retroactively amend the bylaw provisions to reduce its indemnification obligations to directors, officers, employees, and agents.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Registrant’s policy is to enter into separate indemnification agreements with each of its directors and executive officers that provide the maximum indemnity allowed to directors and officers by Section 145 of the Delaware General Corporation Law and also to provide for certain additional procedural protections. The Registrant also maintains directors and officers insurance to insure such persons against certain liabilities.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into between the Registrant and its executive officers and directors may be sufficiently broad to permit indemnification of the Registrant’s executive officers and directors for liabilities (including reimbursement of expenses incurred) arising under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181"/>
        </w:trPr>
        <w:tc>
          <w:tcPr>
            <w:tcW w:w="8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4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40" w:type="dxa"/>
            <w:vAlign w:val="bottom"/>
            <w:gridSpan w:val="8"/>
            <w:vMerge w:val="continue"/>
          </w:tcPr>
          <w:p>
            <w:pPr>
              <w:spacing w:after="0"/>
              <w:rPr>
                <w:sz w:val="12"/>
                <w:szCs w:val="12"/>
                <w:color w:val="auto"/>
              </w:rPr>
            </w:pPr>
          </w:p>
        </w:tc>
        <w:tc>
          <w:tcPr>
            <w:tcW w:w="6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2"/>
                <w:szCs w:val="12"/>
                <w:color w:val="auto"/>
              </w:rPr>
            </w:pPr>
          </w:p>
        </w:tc>
        <w:tc>
          <w:tcPr>
            <w:tcW w:w="124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77"/>
        </w:trPr>
        <w:tc>
          <w:tcPr>
            <w:tcW w:w="8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4.1</w:t>
            </w:r>
          </w:p>
        </w:tc>
        <w:tc>
          <w:tcPr>
            <w:tcW w:w="50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Amended and Restated Certificate of Incorporation of the Registrant.</w:t>
              </w:r>
            </w:hyperlink>
          </w:p>
        </w:tc>
        <w:tc>
          <w:tcPr>
            <w:tcW w:w="880" w:type="dxa"/>
            <w:vAlign w:val="bottom"/>
            <w:gridSpan w:val="2"/>
          </w:tcPr>
          <w:p>
            <w:pPr>
              <w:spacing w:after="0"/>
              <w:rPr>
                <w:sz w:val="24"/>
                <w:szCs w:val="24"/>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001-42434</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12/13/2024</w:t>
            </w:r>
          </w:p>
        </w:tc>
        <w:tc>
          <w:tcPr>
            <w:tcW w:w="0" w:type="dxa"/>
            <w:vAlign w:val="bottom"/>
          </w:tcPr>
          <w:p>
            <w:pPr>
              <w:spacing w:after="0"/>
              <w:rPr>
                <w:sz w:val="1"/>
                <w:szCs w:val="1"/>
                <w:color w:val="auto"/>
              </w:rPr>
            </w:pPr>
          </w:p>
        </w:tc>
      </w:tr>
      <w:tr>
        <w:trPr>
          <w:trHeight w:val="304"/>
        </w:trPr>
        <w:tc>
          <w:tcPr>
            <w:tcW w:w="8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4.2</w:t>
            </w:r>
          </w:p>
        </w:tc>
        <w:tc>
          <w:tcPr>
            <w:tcW w:w="5880" w:type="dxa"/>
            <w:vAlign w:val="bottom"/>
            <w:gridSpan w:val="10"/>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Amended and Restated Bylaws of the Registrant.</w:t>
              </w:r>
            </w:hyperlink>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001-42434</w:t>
            </w:r>
          </w:p>
        </w:tc>
        <w:tc>
          <w:tcPr>
            <w:tcW w:w="92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12/13/2024</w:t>
            </w: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1280" w:type="dxa"/>
            <w:vAlign w:val="bottom"/>
            <w:tcBorders>
              <w:top w:val="single" w:sz="8" w:color="0000FF"/>
            </w:tcBorders>
          </w:tcPr>
          <w:p>
            <w:pPr>
              <w:spacing w:after="0"/>
              <w:rPr>
                <w:sz w:val="16"/>
                <w:szCs w:val="16"/>
                <w:color w:val="auto"/>
              </w:rPr>
            </w:pPr>
          </w:p>
        </w:tc>
        <w:tc>
          <w:tcPr>
            <w:tcW w:w="96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940" w:type="dxa"/>
            <w:vAlign w:val="bottom"/>
            <w:tcBorders>
              <w:top w:val="single" w:sz="8" w:color="0000FF"/>
            </w:tcBorders>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 w:type="dxa"/>
            <w:vAlign w:val="bottom"/>
          </w:tcPr>
          <w:p>
            <w:pPr>
              <w:jc w:val="right"/>
              <w:ind w:right="353"/>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4360" w:type="dxa"/>
            <w:vAlign w:val="bottom"/>
            <w:tcBorders>
              <w:bottom w:val="single" w:sz="8" w:color="0000FF"/>
            </w:tcBorders>
            <w:gridSpan w:val="6"/>
          </w:tcPr>
          <w:p>
            <w:pPr>
              <w:spacing w:after="0" w:line="194"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Form of Class A common stock certificate of the Registrant.</w:t>
              </w:r>
            </w:hyperlink>
          </w:p>
        </w:tc>
        <w:tc>
          <w:tcPr>
            <w:tcW w:w="1520" w:type="dxa"/>
            <w:vAlign w:val="bottom"/>
            <w:gridSpan w:val="4"/>
          </w:tcPr>
          <w:p>
            <w:pPr>
              <w:spacing w:after="0"/>
              <w:rPr>
                <w:sz w:val="16"/>
                <w:szCs w:val="16"/>
                <w:color w:val="auto"/>
              </w:rPr>
            </w:pPr>
          </w:p>
        </w:tc>
        <w:tc>
          <w:tcPr>
            <w:tcW w:w="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3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333-283296</w:t>
            </w:r>
          </w:p>
        </w:tc>
        <w:tc>
          <w:tcPr>
            <w:tcW w:w="920" w:type="dxa"/>
            <w:vAlign w:val="bottom"/>
            <w:gridSpan w:val="2"/>
          </w:tcPr>
          <w:p>
            <w:pPr>
              <w:jc w:val="center"/>
              <w:ind w:left="50"/>
              <w:spacing w:after="0" w:line="194"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6"/>
                <w:szCs w:val="16"/>
                <w:color w:val="auto"/>
              </w:rPr>
            </w:pPr>
          </w:p>
        </w:tc>
        <w:tc>
          <w:tcPr>
            <w:tcW w:w="11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11/18/2024</w:t>
            </w:r>
          </w:p>
        </w:tc>
        <w:tc>
          <w:tcPr>
            <w:tcW w:w="0" w:type="dxa"/>
            <w:vAlign w:val="bottom"/>
          </w:tcPr>
          <w:p>
            <w:pPr>
              <w:spacing w:after="0"/>
              <w:rPr>
                <w:sz w:val="1"/>
                <w:szCs w:val="1"/>
                <w:color w:val="auto"/>
              </w:rPr>
            </w:pPr>
          </w:p>
        </w:tc>
      </w:tr>
      <w:tr>
        <w:trPr>
          <w:trHeight w:val="304"/>
        </w:trPr>
        <w:tc>
          <w:tcPr>
            <w:tcW w:w="8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5.1*</w:t>
            </w:r>
          </w:p>
        </w:tc>
        <w:tc>
          <w:tcPr>
            <w:tcW w:w="2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Opinion of Sidley Austin LLP.</w:t>
            </w:r>
          </w:p>
        </w:tc>
        <w:tc>
          <w:tcPr>
            <w:tcW w:w="3640" w:type="dxa"/>
            <w:vAlign w:val="bottom"/>
            <w:gridSpan w:val="8"/>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4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23.1*</w:t>
            </w:r>
          </w:p>
        </w:tc>
        <w:tc>
          <w:tcPr>
            <w:tcW w:w="5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8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23.2*</w:t>
            </w:r>
          </w:p>
        </w:tc>
        <w:tc>
          <w:tcPr>
            <w:tcW w:w="4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Consent of Sidley Austin LLP (included in Exhibit 5.1 hereto).</w:t>
            </w:r>
          </w:p>
        </w:tc>
        <w:tc>
          <w:tcPr>
            <w:tcW w:w="130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4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24.1*</w:t>
            </w:r>
          </w:p>
        </w:tc>
        <w:tc>
          <w:tcPr>
            <w:tcW w:w="4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hereto).</w:t>
            </w:r>
          </w:p>
        </w:tc>
        <w:tc>
          <w:tcPr>
            <w:tcW w:w="158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4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99.1*#</w:t>
            </w:r>
          </w:p>
        </w:tc>
        <w:tc>
          <w:tcPr>
            <w:tcW w:w="5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Conduit Tech, Inc. 2022 Stock Plan.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96"/>
              </w:rPr>
              <w:t>107.1*</w:t>
            </w:r>
          </w:p>
        </w:tc>
        <w:tc>
          <w:tcPr>
            <w:tcW w:w="12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1340" w:type="dxa"/>
            <w:vAlign w:val="bottom"/>
            <w:tcBorders>
              <w:top w:val="single" w:sz="8" w:color="0000FF"/>
            </w:tcBorders>
            <w:gridSpan w:val="2"/>
          </w:tcPr>
          <w:p>
            <w:pPr>
              <w:spacing w:after="0"/>
              <w:rPr>
                <w:sz w:val="24"/>
                <w:szCs w:val="24"/>
                <w:color w:val="auto"/>
              </w:rPr>
            </w:pPr>
          </w:p>
        </w:tc>
        <w:tc>
          <w:tcPr>
            <w:tcW w:w="326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17" w:lineRule="exact"/>
        <w:rPr>
          <w:sz w:val="20"/>
          <w:szCs w:val="20"/>
          <w:color w:val="auto"/>
        </w:rPr>
      </w:pPr>
    </w:p>
    <w:p>
      <w:pPr>
        <w:ind w:left="780" w:hanging="263"/>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 of 1933;</w:t>
      </w:r>
    </w:p>
    <w:p>
      <w:pPr>
        <w:spacing w:after="0" w:line="117" w:lineRule="exact"/>
        <w:rPr>
          <w:sz w:val="20"/>
          <w:szCs w:val="20"/>
          <w:color w:val="auto"/>
        </w:rPr>
      </w:pPr>
    </w:p>
    <w:p>
      <w:pPr>
        <w:jc w:val="both"/>
        <w:ind w:firstLine="517"/>
        <w:spacing w:after="0" w:line="256" w:lineRule="auto"/>
        <w:tabs>
          <w:tab w:leader="none" w:pos="7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9" w:lineRule="exact"/>
        <w:rPr>
          <w:rFonts w:ascii="Times New Roman" w:cs="Times New Roman" w:eastAsia="Times New Roman" w:hAnsi="Times New Roman"/>
          <w:sz w:val="18"/>
          <w:szCs w:val="18"/>
          <w:color w:val="auto"/>
        </w:rPr>
      </w:pPr>
    </w:p>
    <w:p>
      <w:pPr>
        <w:ind w:firstLine="517"/>
        <w:spacing w:after="0" w:line="282" w:lineRule="auto"/>
        <w:tabs>
          <w:tab w:leader="none" w:pos="8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Securities Exchange Act of 1934 that are incorporated by reference in this Registration Statement.</w:t>
      </w:r>
    </w:p>
    <w:p>
      <w:pPr>
        <w:spacing w:after="0" w:line="67" w:lineRule="exact"/>
        <w:rPr>
          <w:sz w:val="20"/>
          <w:szCs w:val="20"/>
          <w:color w:val="auto"/>
        </w:rPr>
      </w:pPr>
    </w:p>
    <w:p>
      <w:pPr>
        <w:jc w:val="both"/>
        <w:ind w:firstLine="517"/>
        <w:spacing w:after="0" w:line="266" w:lineRule="auto"/>
        <w:tabs>
          <w:tab w:leader="none" w:pos="7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firstLine="517"/>
        <w:spacing w:after="0" w:line="282"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Glendale, State of California, on October 21, 2025.</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SERVICETITAN, INC.</w:t>
      </w:r>
    </w:p>
    <w:p>
      <w:pPr>
        <w:spacing w:after="0" w:line="31" w:lineRule="exact"/>
        <w:rPr>
          <w:sz w:val="20"/>
          <w:szCs w:val="20"/>
          <w:color w:val="auto"/>
        </w:rPr>
      </w:pPr>
    </w:p>
    <w:p>
      <w:pPr>
        <w:ind w:left="100"/>
        <w:spacing w:after="0"/>
        <w:tabs>
          <w:tab w:leader="none" w:pos="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Ara Mahdessian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wp:posOffset>
            </wp:positionV>
            <wp:extent cx="1843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ind w:left="780"/>
        <w:spacing w:after="0"/>
        <w:rPr>
          <w:sz w:val="20"/>
          <w:szCs w:val="20"/>
          <w:color w:val="auto"/>
        </w:rPr>
      </w:pPr>
      <w:r>
        <w:rPr>
          <w:rFonts w:ascii="Times New Roman" w:cs="Times New Roman" w:eastAsia="Times New Roman" w:hAnsi="Times New Roman"/>
          <w:sz w:val="18"/>
          <w:szCs w:val="18"/>
          <w:color w:val="auto"/>
        </w:rPr>
        <w:t>Ara Mahdessian</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Ara Mahdessian, Vahe Kuzoyan and Dave Sherry, and each one of them, as their true and lawful attorneys-in-fact and agents, with full power of substitution and resubstitution, for them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S-8 has been signed by the following persons in the capacities and on the dates indicated.</w:t>
      </w:r>
    </w:p>
    <w:p>
      <w:pPr>
        <w:sectPr>
          <w:pgSz w:w="11900" w:h="16838" w:orient="portrait"/>
          <w:cols w:equalWidth="0" w:num="1">
            <w:col w:w="11240"/>
          </w:cols>
          <w:pgMar w:left="320" w:top="1089" w:right="339" w:bottom="1440" w:gutter="0" w:footer="0" w:header="0"/>
        </w:sectPr>
      </w:pPr>
    </w:p>
    <w:p>
      <w:pPr>
        <w:spacing w:after="0" w:line="182"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14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Ara Mahdessian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21945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Ara Mahdessian</w:t>
      </w:r>
    </w:p>
    <w:p>
      <w:pPr>
        <w:spacing w:after="0" w:line="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Dave Sherry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21945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Dave Sherry</w:t>
      </w:r>
    </w:p>
    <w:p>
      <w:pPr>
        <w:spacing w:after="0" w:line="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Michele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21945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Michele O’Connor</w:t>
      </w:r>
    </w:p>
    <w:p>
      <w:pPr>
        <w:spacing w:after="0" w:line="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Vahe Kuzoyan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21945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Vahe Kuzoyan</w:t>
      </w:r>
    </w:p>
    <w:p>
      <w:pPr>
        <w:spacing w:after="0" w:line="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Nina Achadjian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21945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Nina Achadjian</w:t>
      </w:r>
    </w:p>
    <w:p>
      <w:pPr>
        <w:spacing w:after="0" w:line="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Michael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21945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Michael Brown</w:t>
      </w:r>
    </w:p>
    <w:p>
      <w:pPr>
        <w:spacing w:after="0" w:line="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Tim Cabral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21945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Tim Cabral</w:t>
      </w:r>
    </w:p>
    <w:p>
      <w:pPr>
        <w:spacing w:after="0" w:line="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Byron Deeter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21945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Byron Deeter</w:t>
      </w:r>
    </w:p>
    <w:p>
      <w:pPr>
        <w:spacing w:after="0" w:line="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Ilya Golubovich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21945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Ilya Golubovich</w:t>
      </w:r>
    </w:p>
    <w:p>
      <w:pPr>
        <w:spacing w:after="0" w:line="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William Griffith</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William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-130810</wp:posOffset>
            </wp:positionV>
            <wp:extent cx="21945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William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21945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William Hsu</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24765</wp:posOffset>
            </wp:positionV>
            <wp:extent cx="31032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Director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904875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24765</wp:posOffset>
            </wp:positionV>
            <wp:extent cx="1397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21,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21,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21,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21,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21,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21,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21,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21,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21,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21, 2025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21, 2025</w:t>
      </w:r>
    </w:p>
    <w:p>
      <w:pPr>
        <w:sectPr>
          <w:pgSz w:w="11900" w:h="16838" w:orient="portrait"/>
          <w:cols w:equalWidth="0" w:num="3">
            <w:col w:w="3300" w:space="720"/>
            <w:col w:w="4400" w:space="720"/>
            <w:col w:w="2100"/>
          </w:cols>
          <w:pgMar w:left="320" w:top="1089" w:right="339" w:bottom="1440" w:gutter="0" w:footer="0" w:header="0"/>
          <w:type w:val="continuous"/>
        </w:sectPr>
      </w:pPr>
    </w:p>
    <w:bookmarkStart w:id="6" w:name="page7"/>
    <w:bookmarkEnd w:id="6"/>
    <w:p>
      <w:pPr>
        <w:ind w:left="3440"/>
        <w:spacing w:after="0"/>
        <w:rPr>
          <w:sz w:val="20"/>
          <w:szCs w:val="20"/>
          <w:color w:val="auto"/>
        </w:rPr>
      </w:pPr>
      <w:r>
        <w:rPr>
          <w:rFonts w:ascii="Arial" w:cs="Arial" w:eastAsia="Arial" w:hAnsi="Arial"/>
          <w:sz w:val="12"/>
          <w:szCs w:val="12"/>
          <w:color w:val="auto"/>
        </w:rPr>
        <w:t>SIDLEY AUSTIN LLP</w:t>
      </w:r>
    </w:p>
    <w:p>
      <w:pPr>
        <w:spacing w:after="0" w:line="4" w:lineRule="exact"/>
        <w:rPr>
          <w:sz w:val="20"/>
          <w:szCs w:val="20"/>
          <w:color w:val="auto"/>
        </w:rPr>
      </w:pPr>
    </w:p>
    <w:p>
      <w:pPr>
        <w:ind w:left="3440"/>
        <w:spacing w:after="0"/>
        <w:rPr>
          <w:sz w:val="20"/>
          <w:szCs w:val="20"/>
          <w:color w:val="auto"/>
        </w:rPr>
      </w:pPr>
      <w:r>
        <w:rPr>
          <w:rFonts w:ascii="Arial" w:cs="Arial" w:eastAsia="Arial" w:hAnsi="Arial"/>
          <w:sz w:val="12"/>
          <w:szCs w:val="12"/>
          <w:color w:val="auto"/>
        </w:rPr>
        <w:t>555 CALIFORNIA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-34925</wp:posOffset>
            </wp:positionV>
            <wp:extent cx="1045845"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045845" cy="274320"/>
                    </a:xfrm>
                    <a:prstGeom prst="rect">
                      <a:avLst/>
                    </a:prstGeom>
                    <a:noFill/>
                  </pic:spPr>
                </pic:pic>
              </a:graphicData>
            </a:graphic>
          </wp:anchor>
        </w:drawing>
      </w:r>
    </w:p>
    <w:p>
      <w:pPr>
        <w:ind w:left="3440"/>
        <w:spacing w:after="0" w:line="234" w:lineRule="auto"/>
        <w:rPr>
          <w:sz w:val="20"/>
          <w:szCs w:val="20"/>
          <w:color w:val="auto"/>
        </w:rPr>
      </w:pPr>
      <w:r>
        <w:rPr>
          <w:rFonts w:ascii="Arial" w:cs="Arial" w:eastAsia="Arial" w:hAnsi="Arial"/>
          <w:sz w:val="12"/>
          <w:szCs w:val="12"/>
          <w:color w:val="auto"/>
        </w:rPr>
        <w:t>SUITE 2000</w:t>
      </w:r>
    </w:p>
    <w:p>
      <w:pPr>
        <w:ind w:left="3440"/>
        <w:spacing w:after="0" w:line="235" w:lineRule="auto"/>
        <w:rPr>
          <w:sz w:val="20"/>
          <w:szCs w:val="20"/>
          <w:color w:val="auto"/>
        </w:rPr>
      </w:pPr>
      <w:r>
        <w:rPr>
          <w:rFonts w:ascii="Arial" w:cs="Arial" w:eastAsia="Arial" w:hAnsi="Arial"/>
          <w:sz w:val="12"/>
          <w:szCs w:val="12"/>
          <w:color w:val="auto"/>
        </w:rPr>
        <w:t>SAN FRANCISCO, CA 94104</w:t>
      </w:r>
    </w:p>
    <w:p>
      <w:pPr>
        <w:ind w:left="3440"/>
        <w:spacing w:after="0" w:line="235" w:lineRule="auto"/>
        <w:rPr>
          <w:sz w:val="20"/>
          <w:szCs w:val="20"/>
          <w:color w:val="auto"/>
        </w:rPr>
      </w:pPr>
      <w:r>
        <w:rPr>
          <w:rFonts w:ascii="Arial" w:cs="Arial" w:eastAsia="Arial" w:hAnsi="Arial"/>
          <w:sz w:val="12"/>
          <w:szCs w:val="12"/>
          <w:color w:val="auto"/>
        </w:rPr>
        <w:t>+1 415 772 1200</w:t>
      </w:r>
    </w:p>
    <w:p>
      <w:pPr>
        <w:ind w:left="3440"/>
        <w:spacing w:after="0"/>
        <w:rPr>
          <w:sz w:val="20"/>
          <w:szCs w:val="20"/>
          <w:color w:val="auto"/>
        </w:rPr>
      </w:pPr>
      <w:r>
        <w:rPr>
          <w:rFonts w:ascii="Arial" w:cs="Arial" w:eastAsia="Arial" w:hAnsi="Arial"/>
          <w:sz w:val="12"/>
          <w:szCs w:val="12"/>
          <w:color w:val="auto"/>
        </w:rPr>
        <w:t>+1 415 772 7400 FAX</w:t>
      </w:r>
    </w:p>
    <w:p>
      <w:pPr>
        <w:spacing w:after="0" w:line="257" w:lineRule="exact"/>
        <w:rPr>
          <w:sz w:val="20"/>
          <w:szCs w:val="20"/>
          <w:color w:val="auto"/>
        </w:rPr>
      </w:pPr>
    </w:p>
    <w:p>
      <w:pPr>
        <w:ind w:left="3440"/>
        <w:spacing w:after="0"/>
        <w:tabs>
          <w:tab w:leader="none" w:pos="4160" w:val="left"/>
          <w:tab w:leader="none" w:pos="5140" w:val="left"/>
        </w:tabs>
        <w:rPr>
          <w:sz w:val="20"/>
          <w:szCs w:val="20"/>
          <w:color w:val="auto"/>
        </w:rPr>
      </w:pPr>
      <w:r>
        <w:rPr>
          <w:rFonts w:ascii="Arial" w:cs="Arial" w:eastAsia="Arial" w:hAnsi="Arial"/>
          <w:sz w:val="12"/>
          <w:szCs w:val="12"/>
          <w:color w:val="auto"/>
        </w:rPr>
        <w:t>AMERICA</w:t>
      </w:r>
      <w:r>
        <w:rPr>
          <w:sz w:val="20"/>
          <w:szCs w:val="20"/>
          <w:color w:val="auto"/>
        </w:rPr>
        <w:tab/>
      </w:r>
      <w:r>
        <w:rPr>
          <w:rFonts w:ascii="Arial" w:cs="Arial" w:eastAsia="Arial" w:hAnsi="Arial"/>
          <w:sz w:val="12"/>
          <w:szCs w:val="12"/>
          <w:color w:val="auto"/>
        </w:rPr>
        <w:t>ASIA PACIFIC</w:t>
      </w:r>
      <w:r>
        <w:rPr>
          <w:sz w:val="20"/>
          <w:szCs w:val="20"/>
          <w:color w:val="auto"/>
        </w:rPr>
        <w:tab/>
      </w:r>
      <w:r>
        <w:rPr>
          <w:rFonts w:ascii="Arial" w:cs="Arial" w:eastAsia="Arial" w:hAnsi="Arial"/>
          <w:sz w:val="11"/>
          <w:szCs w:val="11"/>
          <w:color w:val="auto"/>
        </w:rPr>
        <w:t>EUROPE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October 21, 2025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ServiceTitan,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 N. Brand Blvd.</w:t>
      </w:r>
    </w:p>
    <w:p>
      <w:pPr>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Glendale, California</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40,310 shares of Class A Common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We refer to the Registration Statement on Form S-8 (the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being filed by ServiceTitan,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with the Securities and Exchange Commission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relating to the registration of 40,310 shares of Class A Common Stock, $0.001 par value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of the Company, which may be issued under the Conduit Tech, Inc. 2022 Stock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aggregate shares of Common Stock to be registered under the Registration Statement, the “</w:t>
      </w:r>
      <w:r>
        <w:rPr>
          <w:rFonts w:ascii="Times New Roman" w:cs="Times New Roman" w:eastAsia="Times New Roman" w:hAnsi="Times New Roman"/>
          <w:sz w:val="22"/>
          <w:szCs w:val="22"/>
          <w:u w:val="single" w:color="auto"/>
          <w:color w:val="auto"/>
        </w:rPr>
        <w:t>Registered Shares</w:t>
      </w:r>
      <w:r>
        <w:rPr>
          <w:rFonts w:ascii="Times New Roman" w:cs="Times New Roman" w:eastAsia="Times New Roman" w:hAnsi="Times New Roman"/>
          <w:sz w:val="22"/>
          <w:szCs w:val="22"/>
          <w:color w:val="auto"/>
        </w:rPr>
        <w:t>”). This opinion letter is being delivered in accordance with the requirements of Item 601(b)(5) of Regulation S-K under the Securities Act.</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We have examined the Registration Statement, the Company’s certificate of incorporation, the Company’s bylaws, the Plan, and the resolutions adopted by the board of directors of the Company relating to the Registration Statement and the Plan.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Based on the foregoing, we are of the opinion that each Registered Share that is newly issued pursuant to the Plan will be validly issued, fully paid and non-assessable when: (i) the Registration Statement shall have become effective under the Securities Act; (ii) such Registered Share shall have been duly issued and delivered in accordance with the Plan; and (iii) a certificate representing such Registered Share shall have been duly executed, countersigned and registered and duly delivered to the person entitled thereto against payment of the agreed consideration therefor (in an amount not less than the par value thereof) or, if any such Registered Share is to be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Sidley Austin (CA) LLP is a Delaware limited liability partnership doing business as Sidley Austin LLP and practicing in affiliation with other Sidley Austin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7" w:name="page8"/>
    <w:bookmarkEnd w:id="7"/>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1045845"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ServiceTitan,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[21], 2025</w:t>
      </w: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issued in uncertificated form, the Company’s books shall reflect the issuance of such Registered Share to the person entitled thereto against payment of the agreed consideration therefor (in an amount not less than the par value thereof), all in accordance with the Plan.</w:t>
      </w:r>
    </w:p>
    <w:p>
      <w:pPr>
        <w:spacing w:after="0" w:line="20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20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/s/ 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1626870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ServiceTitan, Inc. of our report dated April 1, 2025 relating to the financial statements, which appears in ServiceTitan, Inc.’s Annual Report on Form 10-K for the year ended January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36"/>
          <w:szCs w:val="36"/>
          <w:b w:val="1"/>
          <w:bCs w:val="1"/>
          <w:color w:val="auto"/>
        </w:rPr>
        <w:t>C</w:t>
      </w:r>
      <w:r>
        <w:rPr>
          <w:rFonts w:ascii="Times New Roman" w:cs="Times New Roman" w:eastAsia="Times New Roman" w:hAnsi="Times New Roman"/>
          <w:sz w:val="25"/>
          <w:szCs w:val="25"/>
          <w:b w:val="1"/>
          <w:bCs w:val="1"/>
          <w:color w:val="auto"/>
        </w:rPr>
        <w:t>onduit</w:t>
      </w:r>
      <w:r>
        <w:rPr>
          <w:rFonts w:ascii="Times New Roman" w:cs="Times New Roman" w:eastAsia="Times New Roman" w:hAnsi="Times New Roman"/>
          <w:sz w:val="36"/>
          <w:szCs w:val="36"/>
          <w:b w:val="1"/>
          <w:bCs w:val="1"/>
          <w:color w:val="auto"/>
        </w:rPr>
        <w:t xml:space="preserve"> T</w:t>
      </w:r>
      <w:r>
        <w:rPr>
          <w:rFonts w:ascii="Times New Roman" w:cs="Times New Roman" w:eastAsia="Times New Roman" w:hAnsi="Times New Roman"/>
          <w:sz w:val="25"/>
          <w:szCs w:val="25"/>
          <w:b w:val="1"/>
          <w:bCs w:val="1"/>
          <w:color w:val="auto"/>
        </w:rPr>
        <w:t>ech</w:t>
      </w:r>
      <w:r>
        <w:rPr>
          <w:rFonts w:ascii="Times New Roman" w:cs="Times New Roman" w:eastAsia="Times New Roman" w:hAnsi="Times New Roman"/>
          <w:sz w:val="36"/>
          <w:szCs w:val="36"/>
          <w:b w:val="1"/>
          <w:bCs w:val="1"/>
          <w:color w:val="auto"/>
        </w:rPr>
        <w:t>, I</w:t>
      </w:r>
      <w:r>
        <w:rPr>
          <w:rFonts w:ascii="Times New Roman" w:cs="Times New Roman" w:eastAsia="Times New Roman" w:hAnsi="Times New Roman"/>
          <w:sz w:val="25"/>
          <w:szCs w:val="25"/>
          <w:b w:val="1"/>
          <w:bCs w:val="1"/>
          <w:color w:val="auto"/>
        </w:rPr>
        <w:t>nc</w:t>
      </w:r>
      <w:r>
        <w:rPr>
          <w:rFonts w:ascii="Times New Roman" w:cs="Times New Roman" w:eastAsia="Times New Roman" w:hAnsi="Times New Roman"/>
          <w:sz w:val="36"/>
          <w:szCs w:val="36"/>
          <w:b w:val="1"/>
          <w:bCs w:val="1"/>
          <w:color w:val="auto"/>
        </w:rPr>
        <w:t>.</w:t>
      </w:r>
    </w:p>
    <w:p>
      <w:pPr>
        <w:spacing w:after="0" w:line="200" w:lineRule="exact"/>
        <w:rPr>
          <w:sz w:val="20"/>
          <w:szCs w:val="20"/>
          <w:color w:val="auto"/>
        </w:rPr>
      </w:pPr>
    </w:p>
    <w:p>
      <w:pPr>
        <w:spacing w:after="0" w:line="34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36"/>
          <w:szCs w:val="36"/>
          <w:b w:val="1"/>
          <w:bCs w:val="1"/>
          <w:color w:val="auto"/>
        </w:rPr>
        <w:t>2022 S</w:t>
      </w:r>
      <w:r>
        <w:rPr>
          <w:rFonts w:ascii="Times New Roman" w:cs="Times New Roman" w:eastAsia="Times New Roman" w:hAnsi="Times New Roman"/>
          <w:sz w:val="25"/>
          <w:szCs w:val="25"/>
          <w:b w:val="1"/>
          <w:bCs w:val="1"/>
          <w:color w:val="auto"/>
        </w:rPr>
        <w:t>tock</w:t>
      </w:r>
      <w:r>
        <w:rPr>
          <w:rFonts w:ascii="Times New Roman" w:cs="Times New Roman" w:eastAsia="Times New Roman" w:hAnsi="Times New Roman"/>
          <w:sz w:val="36"/>
          <w:szCs w:val="36"/>
          <w:b w:val="1"/>
          <w:bCs w:val="1"/>
          <w:color w:val="auto"/>
        </w:rPr>
        <w:t xml:space="preserve"> P</w:t>
      </w:r>
      <w:r>
        <w:rPr>
          <w:rFonts w:ascii="Times New Roman" w:cs="Times New Roman" w:eastAsia="Times New Roman" w:hAnsi="Times New Roman"/>
          <w:sz w:val="25"/>
          <w:szCs w:val="25"/>
          <w:b w:val="1"/>
          <w:bCs w:val="1"/>
          <w:color w:val="auto"/>
        </w:rPr>
        <w:t>lan</w:t>
      </w:r>
    </w:p>
    <w:p>
      <w:pPr>
        <w:spacing w:after="0" w:line="200" w:lineRule="exact"/>
        <w:rPr>
          <w:sz w:val="20"/>
          <w:szCs w:val="20"/>
          <w:color w:val="auto"/>
        </w:rPr>
      </w:pPr>
    </w:p>
    <w:p>
      <w:pPr>
        <w:spacing w:after="0" w:line="35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dopted on</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arch</w:t>
      </w:r>
      <w:r>
        <w:rPr>
          <w:rFonts w:ascii="Times New Roman" w:cs="Times New Roman" w:eastAsia="Times New Roman" w:hAnsi="Times New Roman"/>
          <w:sz w:val="22"/>
          <w:szCs w:val="22"/>
          <w:b w:val="1"/>
          <w:bCs w:val="1"/>
          <w:color w:val="auto"/>
        </w:rPr>
        <w:t xml:space="preserv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892175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86"/>
        </w:trPr>
        <w:tc>
          <w:tcPr>
            <w:tcW w:w="1480" w:type="dxa"/>
            <w:vAlign w:val="bottom"/>
          </w:tcPr>
          <w:p>
            <w:pPr>
              <w:spacing w:after="0"/>
              <w:rPr>
                <w:sz w:val="24"/>
                <w:szCs w:val="24"/>
                <w:color w:val="auto"/>
              </w:rPr>
            </w:pPr>
          </w:p>
        </w:tc>
        <w:tc>
          <w:tcPr>
            <w:tcW w:w="7700" w:type="dxa"/>
            <w:vAlign w:val="bottom"/>
          </w:tcPr>
          <w:p>
            <w:pPr>
              <w:ind w:left="29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060" w:type="dxa"/>
            <w:vAlign w:val="bottom"/>
          </w:tcPr>
          <w:p>
            <w:pPr>
              <w:spacing w:after="0"/>
              <w:rPr>
                <w:sz w:val="24"/>
                <w:szCs w:val="24"/>
                <w:color w:val="auto"/>
              </w:rPr>
            </w:pPr>
          </w:p>
        </w:tc>
      </w:tr>
      <w:tr>
        <w:trPr>
          <w:trHeight w:val="420"/>
        </w:trPr>
        <w:tc>
          <w:tcPr>
            <w:tcW w:w="14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1.</w:t>
            </w:r>
          </w:p>
        </w:tc>
        <w:tc>
          <w:tcPr>
            <w:tcW w:w="7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ESTABLISHMENT AND PURPOSE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4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2.</w:t>
            </w:r>
          </w:p>
        </w:tc>
        <w:tc>
          <w:tcPr>
            <w:tcW w:w="7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ADMINISTRATION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Committees of the Board of Directors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82"/>
        </w:trPr>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Authority of the Board of Directors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4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3.</w:t>
            </w:r>
          </w:p>
        </w:tc>
        <w:tc>
          <w:tcPr>
            <w:tcW w:w="7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ELIGIBILITY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General Rule</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82"/>
        </w:trPr>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Ten-Percent Stockholders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4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4.</w:t>
            </w:r>
          </w:p>
        </w:tc>
        <w:tc>
          <w:tcPr>
            <w:tcW w:w="7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STOCK SUBJECT TO PLAN</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Basic Limitation</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82"/>
        </w:trPr>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Additional Shares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44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5.</w:t>
            </w:r>
          </w:p>
        </w:tc>
        <w:tc>
          <w:tcPr>
            <w:tcW w:w="7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TERMS AND CONDITIONS OF AWARDS OR SALES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Stock Grant or Purchase Agreement</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Duration of Offers and Nontransferability of Rights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82"/>
        </w:trPr>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Purchase Price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4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6.</w:t>
            </w:r>
          </w:p>
        </w:tc>
        <w:tc>
          <w:tcPr>
            <w:tcW w:w="7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TERMS AND CONDITIONS OF OPTIONS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Stock Option Agreement</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Number of Shares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Exercise Price</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Vesting and Exercisability</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Basic Term</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(f)</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Termination of Service (Except by Death)</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Leaves of Absence</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(h)</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Death of Optionee</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Restrictions on Transfer of Options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(j)</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No Rights as a Stockholder</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(k)</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Modification, Extension and Assumption of Options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82"/>
        </w:trPr>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w:t>
            </w:r>
          </w:p>
        </w:tc>
        <w:tc>
          <w:tcPr>
            <w:tcW w:w="7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Company’s Right to Cancel Certain Options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4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7.</w:t>
            </w:r>
          </w:p>
        </w:tc>
        <w:tc>
          <w:tcPr>
            <w:tcW w:w="7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TERMS AND CONDITIONS OF RESTRICTED STOCK UNITS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Restricted Stock Unit Agreement</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Payment for Restricted Stock Units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Vesting Conditions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Forfeiture</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Voting and Dividend Rights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(f)</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Form and Time of Settlement of Restricted Stock Units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w:t>
            </w:r>
          </w:p>
        </w:tc>
        <w:tc>
          <w:tcPr>
            <w:tcW w:w="7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Death of Recipient</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82"/>
        </w:trPr>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(h)</w:t>
            </w:r>
          </w:p>
        </w:tc>
        <w:tc>
          <w:tcPr>
            <w:tcW w:w="7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Creditors’ Rights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3"/>
        </w:trPr>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w:t>
            </w:r>
          </w:p>
        </w:tc>
        <w:tc>
          <w:tcPr>
            <w:tcW w:w="7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Modification, Extension and Assumption of Restricted Stock Units</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82"/>
        </w:trPr>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(j)</w:t>
            </w:r>
          </w:p>
        </w:tc>
        <w:tc>
          <w:tcPr>
            <w:tcW w:w="7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Restrictions on Transfer of Restricted Stock Units</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4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SECTION 8.</w:t>
            </w:r>
          </w:p>
        </w:tc>
        <w:tc>
          <w:tcPr>
            <w:tcW w:w="7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PAYMENT FOR SHARES</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General Rule</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Services Rendered</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Promissory Note</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Surrender of Stock</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Cashless Exercise</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(f)</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Net Exercise</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82"/>
        </w:trPr>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w:t>
            </w:r>
          </w:p>
        </w:tc>
        <w:tc>
          <w:tcPr>
            <w:tcW w:w="7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Other Forms of Payment</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44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SECTION 9.</w:t>
            </w:r>
          </w:p>
        </w:tc>
        <w:tc>
          <w:tcPr>
            <w:tcW w:w="7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ADJUSTMENT OF SHARES</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General</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Corporate Transactions</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Dissolution or Liquidation</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82"/>
        </w:trPr>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7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Reservation of Rights</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4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SECTION 10.</w:t>
            </w:r>
          </w:p>
        </w:tc>
        <w:tc>
          <w:tcPr>
            <w:tcW w:w="7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MISCELLANEOUS PROVISIONS</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Securities Law Requirements</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 Retention Rights</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Treatment as Compensation</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Governing Law</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Conditions and Restrictions on Shares</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82"/>
        </w:trPr>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w:t>
            </w:r>
          </w:p>
        </w:tc>
        <w:tc>
          <w:tcPr>
            <w:tcW w:w="7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Tax Matters</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4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7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DURATION AND AMENDMENTS; STOCKHOLDER APPROVAL</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Term of the Plan</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Right to Amend or Terminate the Plan</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79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Effect of Amendment or Termination</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82"/>
        </w:trPr>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7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Stockholder Approval</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86"/>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SECTION 12.</w:t>
            </w:r>
          </w:p>
        </w:tc>
        <w:tc>
          <w:tcPr>
            <w:tcW w:w="7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DEFINITIONS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648"/>
        </w:trPr>
        <w:tc>
          <w:tcPr>
            <w:tcW w:w="1540" w:type="dxa"/>
            <w:vAlign w:val="bottom"/>
          </w:tcPr>
          <w:p>
            <w:pPr>
              <w:spacing w:after="0"/>
              <w:rPr>
                <w:sz w:val="24"/>
                <w:szCs w:val="24"/>
                <w:color w:val="auto"/>
              </w:rPr>
            </w:pPr>
          </w:p>
        </w:tc>
        <w:tc>
          <w:tcPr>
            <w:tcW w:w="7940" w:type="dxa"/>
            <w:vAlign w:val="bottom"/>
          </w:tcPr>
          <w:p>
            <w:pPr>
              <w:ind w:left="4020"/>
              <w:spacing w:after="0"/>
              <w:rPr>
                <w:sz w:val="20"/>
                <w:szCs w:val="20"/>
                <w:color w:val="auto"/>
              </w:rPr>
            </w:pPr>
            <w:r>
              <w:rPr>
                <w:rFonts w:ascii="Times New Roman" w:cs="Times New Roman" w:eastAsia="Times New Roman" w:hAnsi="Times New Roman"/>
                <w:sz w:val="22"/>
                <w:szCs w:val="22"/>
                <w:color w:val="auto"/>
              </w:rPr>
              <w:t>ii</w:t>
            </w:r>
          </w:p>
        </w:tc>
        <w:tc>
          <w:tcPr>
            <w:tcW w:w="1760" w:type="dxa"/>
            <w:vAlign w:val="bottom"/>
          </w:tcPr>
          <w:p>
            <w:pPr>
              <w:spacing w:after="0"/>
              <w:rPr>
                <w:sz w:val="24"/>
                <w:szCs w:val="24"/>
                <w:color w:val="auto"/>
              </w:rPr>
            </w:pPr>
          </w:p>
        </w:tc>
      </w:tr>
      <w:tr>
        <w:trPr>
          <w:trHeight w:val="751"/>
        </w:trPr>
        <w:tc>
          <w:tcPr>
            <w:tcW w:w="1540" w:type="dxa"/>
            <w:vAlign w:val="bottom"/>
            <w:tcBorders>
              <w:bottom w:val="single" w:sz="8" w:color="9A9A9A"/>
            </w:tcBorders>
          </w:tcPr>
          <w:p>
            <w:pPr>
              <w:spacing w:after="0"/>
              <w:rPr>
                <w:sz w:val="24"/>
                <w:szCs w:val="24"/>
                <w:color w:val="auto"/>
              </w:rPr>
            </w:pPr>
          </w:p>
        </w:tc>
        <w:tc>
          <w:tcPr>
            <w:tcW w:w="79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2" w:name="page13"/>
    <w:bookmarkEnd w:id="12"/>
    <w:p>
      <w:pPr>
        <w:ind w:left="2800"/>
        <w:spacing w:after="0"/>
        <w:rPr>
          <w:sz w:val="20"/>
          <w:szCs w:val="20"/>
          <w:color w:val="auto"/>
        </w:rPr>
      </w:pPr>
      <w:r>
        <w:rPr>
          <w:rFonts w:ascii="Times New Roman" w:cs="Times New Roman" w:eastAsia="Times New Roman" w:hAnsi="Times New Roman"/>
          <w:sz w:val="36"/>
          <w:szCs w:val="36"/>
          <w:b w:val="1"/>
          <w:bCs w:val="1"/>
          <w:color w:val="auto"/>
        </w:rPr>
        <w:t>C</w:t>
      </w:r>
      <w:r>
        <w:rPr>
          <w:rFonts w:ascii="Times New Roman" w:cs="Times New Roman" w:eastAsia="Times New Roman" w:hAnsi="Times New Roman"/>
          <w:sz w:val="25"/>
          <w:szCs w:val="25"/>
          <w:b w:val="1"/>
          <w:bCs w:val="1"/>
          <w:color w:val="auto"/>
        </w:rPr>
        <w:t>onduit</w:t>
      </w:r>
      <w:r>
        <w:rPr>
          <w:rFonts w:ascii="Times New Roman" w:cs="Times New Roman" w:eastAsia="Times New Roman" w:hAnsi="Times New Roman"/>
          <w:sz w:val="36"/>
          <w:szCs w:val="36"/>
          <w:b w:val="1"/>
          <w:bCs w:val="1"/>
          <w:color w:val="auto"/>
        </w:rPr>
        <w:t xml:space="preserve"> T</w:t>
      </w:r>
      <w:r>
        <w:rPr>
          <w:rFonts w:ascii="Times New Roman" w:cs="Times New Roman" w:eastAsia="Times New Roman" w:hAnsi="Times New Roman"/>
          <w:sz w:val="25"/>
          <w:szCs w:val="25"/>
          <w:b w:val="1"/>
          <w:bCs w:val="1"/>
          <w:color w:val="auto"/>
        </w:rPr>
        <w:t>ech</w:t>
      </w:r>
      <w:r>
        <w:rPr>
          <w:rFonts w:ascii="Times New Roman" w:cs="Times New Roman" w:eastAsia="Times New Roman" w:hAnsi="Times New Roman"/>
          <w:sz w:val="36"/>
          <w:szCs w:val="36"/>
          <w:b w:val="1"/>
          <w:bCs w:val="1"/>
          <w:color w:val="auto"/>
        </w:rPr>
        <w:t>, I</w:t>
      </w:r>
      <w:r>
        <w:rPr>
          <w:rFonts w:ascii="Times New Roman" w:cs="Times New Roman" w:eastAsia="Times New Roman" w:hAnsi="Times New Roman"/>
          <w:sz w:val="25"/>
          <w:szCs w:val="25"/>
          <w:b w:val="1"/>
          <w:bCs w:val="1"/>
          <w:color w:val="auto"/>
        </w:rPr>
        <w:t>nc</w:t>
      </w:r>
      <w:r>
        <w:rPr>
          <w:rFonts w:ascii="Times New Roman" w:cs="Times New Roman" w:eastAsia="Times New Roman" w:hAnsi="Times New Roman"/>
          <w:sz w:val="36"/>
          <w:szCs w:val="36"/>
          <w:b w:val="1"/>
          <w:bCs w:val="1"/>
          <w:color w:val="auto"/>
        </w:rPr>
        <w:t>. 2022 S</w:t>
      </w:r>
      <w:r>
        <w:rPr>
          <w:rFonts w:ascii="Times New Roman" w:cs="Times New Roman" w:eastAsia="Times New Roman" w:hAnsi="Times New Roman"/>
          <w:sz w:val="25"/>
          <w:szCs w:val="25"/>
          <w:b w:val="1"/>
          <w:bCs w:val="1"/>
          <w:color w:val="auto"/>
        </w:rPr>
        <w:t>tock</w:t>
      </w:r>
      <w:r>
        <w:rPr>
          <w:rFonts w:ascii="Times New Roman" w:cs="Times New Roman" w:eastAsia="Times New Roman" w:hAnsi="Times New Roman"/>
          <w:sz w:val="36"/>
          <w:szCs w:val="36"/>
          <w:b w:val="1"/>
          <w:bCs w:val="1"/>
          <w:color w:val="auto"/>
        </w:rPr>
        <w:t xml:space="preserve"> P</w:t>
      </w:r>
      <w:r>
        <w:rPr>
          <w:rFonts w:ascii="Times New Roman" w:cs="Times New Roman" w:eastAsia="Times New Roman" w:hAnsi="Times New Roman"/>
          <w:sz w:val="25"/>
          <w:szCs w:val="25"/>
          <w:b w:val="1"/>
          <w:bCs w:val="1"/>
          <w:color w:val="auto"/>
        </w:rPr>
        <w:t>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ESTABLISHMENT AND PURPOSE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6"/>
        <w:spacing w:after="0" w:line="239" w:lineRule="auto"/>
        <w:rPr>
          <w:sz w:val="20"/>
          <w:szCs w:val="20"/>
          <w:color w:val="auto"/>
        </w:rPr>
      </w:pPr>
      <w:r>
        <w:rPr>
          <w:rFonts w:ascii="Times New Roman" w:cs="Times New Roman" w:eastAsia="Times New Roman" w:hAnsi="Times New Roman"/>
          <w:sz w:val="22"/>
          <w:szCs w:val="22"/>
          <w:color w:val="auto"/>
        </w:rPr>
        <w:t>The purpose of this Plan is to attract, incentivize and retain Employees, Outside Directors and Consultants through the grant of Awards. The Plan provides for the direct award or sale of Shares, the grant of Options to purchase Shares and the grant of Restricted Stock Units to acquire Shares. Options granted under the Plan may be ISOs intended to qualify under Code Section 422 or NSOs which are not intended to so qualify.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Capitalized terms are defined in Section 12.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ADMINISTRATION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7" w:lineRule="auto"/>
        <w:tabs>
          <w:tab w:leader="none" w:pos="192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Committees of the Board of Directors</w:t>
      </w:r>
      <w:r>
        <w:rPr>
          <w:rFonts w:ascii="Times New Roman" w:cs="Times New Roman" w:eastAsia="Times New Roman" w:hAnsi="Times New Roman"/>
          <w:sz w:val="22"/>
          <w:szCs w:val="22"/>
          <w:color w:val="auto"/>
        </w:rPr>
        <w:t>. The Plan may be administered by one or more Committees.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shall consist, as required by applicable law, of one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or an Award Agreement shall be construed as a reference to the Committee (if any) to whom the Board of Directors has assigned a particular function.</w:t>
      </w:r>
    </w:p>
    <w:p>
      <w:pPr>
        <w:spacing w:after="0" w:line="175"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4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Authority of the Board of Directors</w:t>
      </w:r>
      <w:r>
        <w:rPr>
          <w:rFonts w:ascii="Times New Roman" w:cs="Times New Roman" w:eastAsia="Times New Roman" w:hAnsi="Times New Roman"/>
          <w:sz w:val="22"/>
          <w:szCs w:val="22"/>
          <w:color w:val="auto"/>
        </w:rPr>
        <w:t>. Subject to the provisions of the Plan, the Board of Directors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full authority and discretion to take any actions it deems necessary or advisable for the administration of the Plan. Notwithstanding anything to the contrary in the Plan, with respect to the terms and conditions of awards granted to Participants outside the United States, the Board of Directors may vary from the provisions of the Plan to the extent it determines it necessary and appropriate to do so; provided that it may not vary from those Plan terms requiring stockholder approval pursuant to Section 11(d) below. All decisions, interpretations and other actions of the Board of Directors shall be final and binding on all Participants and all persons deriving their rights from a Participant.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ELIGIBILITY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93" w:lineRule="auto"/>
        <w:tabs>
          <w:tab w:leader="none" w:pos="195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 Rule</w:t>
      </w:r>
      <w:r>
        <w:rPr>
          <w:rFonts w:ascii="Times New Roman" w:cs="Times New Roman" w:eastAsia="Times New Roman" w:hAnsi="Times New Roman"/>
          <w:sz w:val="22"/>
          <w:szCs w:val="22"/>
          <w:color w:val="auto"/>
        </w:rPr>
        <w:t>. Employees, Outside Directors and Consultants shall be eligible for the grant of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Plan.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However, only Employees shall be eligible for the grant of ISOs.</w:t>
      </w:r>
    </w:p>
    <w:p>
      <w:pPr>
        <w:spacing w:after="0" w:line="1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Ten-Percent Stockholders</w:t>
      </w:r>
      <w:r>
        <w:rPr>
          <w:rFonts w:ascii="Times New Roman" w:cs="Times New Roman" w:eastAsia="Times New Roman" w:hAnsi="Times New Roman"/>
          <w:sz w:val="22"/>
          <w:szCs w:val="22"/>
          <w:color w:val="auto"/>
        </w:rPr>
        <w:t>. A person who owns more than 10% of the total combined voting power of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classes of outstanding stock of the Company, its Parent or any of its Subsidiaries shall not be eligible for the grant of an ISO unless (i) the Exercise Price is at least 110% of the Fair Market Value of a Share on the Date of Grant and (ii) such ISO by its terms is not exercisable after the expiration of five years from the Date of Grant. For purposes of this Subsection (b), in determining stock ownership, the attribution rules of Code Section 424(d) shall be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9970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128"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Note that special considerations apply if the Company proposes to grant awards to an Employee or Consultant of a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13" w:name="page14"/>
    <w:bookmarkEnd w:id="13"/>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 STOCK SUBJECT TO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28" w:lineRule="auto"/>
        <w:tabs>
          <w:tab w:leader="none" w:pos="192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Basic Limitation</w:t>
      </w:r>
      <w:r>
        <w:rPr>
          <w:rFonts w:ascii="Times New Roman" w:cs="Times New Roman" w:eastAsia="Times New Roman" w:hAnsi="Times New Roman"/>
          <w:sz w:val="22"/>
          <w:szCs w:val="22"/>
          <w:color w:val="auto"/>
        </w:rPr>
        <w:t>. Not more than 555,556 Shares may be issued under the Plan, subject to Subsection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and Section 9(a).</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All of these Shares may be issued upon the exercise of ISOs. The Company, during the term of the Plan, shall at all times reserve and keep available sufficient Shares to satisfy the requirements of the Plan. Shares offered under the Plan may be authorized but unissued Shares or treasury Shares.</w:t>
      </w:r>
    </w:p>
    <w:p>
      <w:pPr>
        <w:spacing w:after="0" w:line="174"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8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Additional Shares</w:t>
      </w:r>
      <w:r>
        <w:rPr>
          <w:rFonts w:ascii="Times New Roman" w:cs="Times New Roman" w:eastAsia="Times New Roman" w:hAnsi="Times New Roman"/>
          <w:sz w:val="21"/>
          <w:szCs w:val="21"/>
          <w:color w:val="auto"/>
        </w:rPr>
        <w:t>. In the event that Shares previously issued under the Plan are forfeited to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repurchased by the Company due to failure to vest, such Shares shall be added to the number of Shares then available for issuance under the Plan. In the event that Shares that otherwise would have been issuable under the Plan are withheld by the Company in payment of the Purchase Price, Exercise Price or withholding taxes, such Shares shall remain available for issuance under the Plan. In the event that an outstanding Option, Restricted Stock Unit or other right for any reason expires or is canceled, the Shares allocable to the unexercised or unsettled portion of such Option, Restricted Stock Unit or other right shall remain available for issuance under the Plan. To the extent an Award is settled in cash, the cash settlement shall not reduce the number of Shares remaining available for issuance under the Plan. Notwithstanding the foregoing, in the case of ISOs, this Subsection (b) shall be subject to any limitations imposed under Section 422 of the Code and the treasury regulations thereunder.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 TERMS AND CONDITIONS OF AWARDS OR SALES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192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Grant or Purchase Agreement</w:t>
      </w:r>
      <w:r>
        <w:rPr>
          <w:rFonts w:ascii="Times New Roman" w:cs="Times New Roman" w:eastAsia="Times New Roman" w:hAnsi="Times New Roman"/>
          <w:sz w:val="22"/>
          <w:szCs w:val="22"/>
          <w:color w:val="auto"/>
        </w:rPr>
        <w:t>. Each award of Shares under the Plan shall be evidenced by a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Agreement between the Grantee and the Company. Each sale of Shares under the Plan (other than upon exercise of an Option) shall be evidenced 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Grant Agreement or Stock Purchase Agreement. The provisions of the various Stock Grant Agreements and Stock Purchase Agreements entered into under the Plan need not be identical.</w:t>
      </w:r>
    </w:p>
    <w:p>
      <w:pPr>
        <w:spacing w:after="0" w:line="175"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2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Duration of Offers and Nontransferability of Rights</w:t>
      </w:r>
      <w:r>
        <w:rPr>
          <w:rFonts w:ascii="Times New Roman" w:cs="Times New Roman" w:eastAsia="Times New Roman" w:hAnsi="Times New Roman"/>
          <w:sz w:val="22"/>
          <w:szCs w:val="22"/>
          <w:color w:val="auto"/>
        </w:rPr>
        <w:t>. Any right to purchase Shares under the Plan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an Option) shall automatically expire if not exercised by the Purchaser within 30 days (or such other period as may be specified in the Award Agreement) after the grant of such right was communicated to the Purchaser by the Company. Such right is not transferable and may be exercised only by the Purchaser to whom such right was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9970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123" w:lineRule="exact"/>
        <w:rPr>
          <w:sz w:val="20"/>
          <w:szCs w:val="20"/>
          <w:color w:val="auto"/>
        </w:rPr>
      </w:pPr>
    </w:p>
    <w:p>
      <w:pPr>
        <w:ind w:left="120" w:hanging="112"/>
        <w:spacing w:after="0"/>
        <w:tabs>
          <w:tab w:leader="none" w:pos="1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refer to Exhibit A for a schedule of the initial share reserve and any subsequent increases in the reserve.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1" w:lineRule="exact"/>
        <w:rPr>
          <w:sz w:val="20"/>
          <w:szCs w:val="20"/>
          <w:color w:val="auto"/>
        </w:rPr>
      </w:pPr>
    </w:p>
    <w:p>
      <w:pPr>
        <w:ind w:firstLine="1505"/>
        <w:spacing w:after="0" w:line="262" w:lineRule="auto"/>
        <w:tabs>
          <w:tab w:leader="none" w:pos="192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The Board of Directors shall determine the Purchase Price of Shares to be offered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at its sole discretion. The Purchase Price shall be payable in a form described in Section 8.</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TERMS AND CONDITIONS OF OPTIONS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194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Option Agreement</w:t>
      </w:r>
      <w:r>
        <w:rPr>
          <w:rFonts w:ascii="Times New Roman" w:cs="Times New Roman" w:eastAsia="Times New Roman" w:hAnsi="Times New Roman"/>
          <w:sz w:val="22"/>
          <w:szCs w:val="22"/>
          <w:color w:val="auto"/>
        </w:rPr>
        <w:t>. Each grant of an Option under the Plan shall be evidenced by a Stock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between the Optionee and the Company. The Option shall be subject to all applicable terms and conditions of the Plan and may be subject to any other terms and conditions that are not inconsistent with the Plan and that the Board of Directors deems appropriate for inclusion in a Stock Option Agreement. The provisions of the various Stock Option Agreements entered into under the Plan need not be identical.</w:t>
      </w:r>
    </w:p>
    <w:p>
      <w:pPr>
        <w:spacing w:after="0" w:line="176"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4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Number of Shares</w:t>
      </w:r>
      <w:r>
        <w:rPr>
          <w:rFonts w:ascii="Times New Roman" w:cs="Times New Roman" w:eastAsia="Times New Roman" w:hAnsi="Times New Roman"/>
          <w:sz w:val="22"/>
          <w:szCs w:val="22"/>
          <w:color w:val="auto"/>
        </w:rPr>
        <w:t>. Each Stock Option Agreement shall specify the number of Shares that are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Option and shall provide for the adjustment of such number in accordance with Section 9. The Stock Option Agreement shall also specify whether the Option is an ISO or an NSO.</w:t>
      </w:r>
    </w:p>
    <w:p>
      <w:pPr>
        <w:spacing w:after="0" w:line="16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6" w:lineRule="auto"/>
        <w:tabs>
          <w:tab w:leader="none" w:pos="2689"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Each Stock Option Agreement shall specify the Exercise Price, which shall be payable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form described in Section 8. Subject to the remaining provisions of this Subsection (c), the Exercise Price shall be determined by the Board of Directors in its sole discretion.</w:t>
      </w:r>
    </w:p>
    <w:p>
      <w:pPr>
        <w:spacing w:after="0" w:line="167" w:lineRule="exact"/>
        <w:rPr>
          <w:rFonts w:ascii="Times New Roman" w:cs="Times New Roman" w:eastAsia="Times New Roman" w:hAnsi="Times New Roman"/>
          <w:sz w:val="22"/>
          <w:szCs w:val="22"/>
          <w:color w:val="auto"/>
        </w:rPr>
      </w:pPr>
    </w:p>
    <w:p>
      <w:pPr>
        <w:jc w:val="both"/>
        <w:ind w:left="760" w:firstLine="1494"/>
        <w:spacing w:after="0" w:line="241" w:lineRule="auto"/>
        <w:tabs>
          <w:tab w:leader="none" w:pos="2703"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ISOs</w:t>
      </w:r>
      <w:r>
        <w:rPr>
          <w:rFonts w:ascii="Times New Roman" w:cs="Times New Roman" w:eastAsia="Times New Roman" w:hAnsi="Times New Roman"/>
          <w:sz w:val="22"/>
          <w:szCs w:val="22"/>
          <w:color w:val="auto"/>
        </w:rPr>
        <w:t>. The Exercise Price of an ISO shall not be less than 100% of the Fair Market Value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on the Date of Grant, and a higher percentage may be required by Section 3(b). This Subsection (c)(ii) shall not apply to an ISO granted pursuant to an assumption of, or substitution for, another incentive stock option in a manner that complies with Code Section 424(a).</w:t>
      </w:r>
    </w:p>
    <w:p>
      <w:pPr>
        <w:spacing w:after="0" w:line="171" w:lineRule="exact"/>
        <w:rPr>
          <w:rFonts w:ascii="Times New Roman" w:cs="Times New Roman" w:eastAsia="Times New Roman" w:hAnsi="Times New Roman"/>
          <w:sz w:val="22"/>
          <w:szCs w:val="22"/>
          <w:color w:val="auto"/>
        </w:rPr>
      </w:pPr>
    </w:p>
    <w:p>
      <w:pPr>
        <w:jc w:val="both"/>
        <w:ind w:left="760" w:firstLine="1494"/>
        <w:spacing w:after="0" w:line="237" w:lineRule="auto"/>
        <w:tabs>
          <w:tab w:leader="none" w:pos="2703"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NSOs</w:t>
      </w:r>
      <w:r>
        <w:rPr>
          <w:rFonts w:ascii="Times New Roman" w:cs="Times New Roman" w:eastAsia="Times New Roman" w:hAnsi="Times New Roman"/>
          <w:sz w:val="22"/>
          <w:szCs w:val="22"/>
          <w:color w:val="auto"/>
        </w:rPr>
        <w:t>. Except as specifically set forth in this Subsection (c)(iii), the Exercise Price of an NSO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be less than 100% of the Fair Market Value of a Share on the Date of Grant. This Subsection (c)(iii) shall not apply to an NSO granted to a person who is not a U.S. taxpayer on the Date of Grant or to an NSO that is intended either to be exempt from Code Section 409A as a “short- term deferral” or to comply with the requirements of Code Section 409A. In addition, this Subsection (c)(iii) shall not apply to an NSO granted pursuant to an assumption of, or substitution for, another stock option in a manner that complies with Code Section 409A.</w:t>
      </w:r>
    </w:p>
    <w:p>
      <w:pPr>
        <w:spacing w:after="0" w:line="175"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8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and Exercisability</w:t>
      </w:r>
      <w:r>
        <w:rPr>
          <w:rFonts w:ascii="Times New Roman" w:cs="Times New Roman" w:eastAsia="Times New Roman" w:hAnsi="Times New Roman"/>
          <w:sz w:val="22"/>
          <w:szCs w:val="22"/>
          <w:color w:val="auto"/>
        </w:rPr>
        <w:t>. Each Stock Option Agreement shall specify the date when all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installment of the Option is to become vested and exercisable. No Option shall be exercisable unless the Optionee (i) has delivered an executed copy of the Stock Option Agreement to the Company or (ii) otherwise agrees to be bound by the terms of the Stock Option Agreement. The Board of Directors shall determine the vesting and exercisability provisions of the Stock Option Agreement at its sole discretion.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1" w:lineRule="exact"/>
        <w:rPr>
          <w:sz w:val="20"/>
          <w:szCs w:val="20"/>
          <w:color w:val="auto"/>
        </w:rPr>
      </w:pPr>
    </w:p>
    <w:p>
      <w:pPr>
        <w:jc w:val="both"/>
        <w:ind w:firstLine="1505"/>
        <w:spacing w:after="0" w:line="246" w:lineRule="auto"/>
        <w:tabs>
          <w:tab w:leader="none" w:pos="192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Basic Term</w:t>
      </w:r>
      <w:r>
        <w:rPr>
          <w:rFonts w:ascii="Times New Roman" w:cs="Times New Roman" w:eastAsia="Times New Roman" w:hAnsi="Times New Roman"/>
          <w:sz w:val="22"/>
          <w:szCs w:val="22"/>
          <w:color w:val="auto"/>
        </w:rPr>
        <w:t>. The Stock Option Agreement shall specify the term of the Option. The term shall not exceed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 years from the Date of Grant, and in the case of an ISO, a shorter term may be required by Section 3(b). Subject to the preceding sentence, the Board of Directors at its sole discretion shall determine when an Option is to expire.</w:t>
      </w:r>
    </w:p>
    <w:p>
      <w:pPr>
        <w:spacing w:after="0" w:line="167" w:lineRule="exact"/>
        <w:rPr>
          <w:rFonts w:ascii="Times New Roman" w:cs="Times New Roman" w:eastAsia="Times New Roman" w:hAnsi="Times New Roman"/>
          <w:sz w:val="22"/>
          <w:szCs w:val="22"/>
          <w:color w:val="auto"/>
        </w:rPr>
      </w:pPr>
    </w:p>
    <w:p>
      <w:pPr>
        <w:ind w:firstLine="1505"/>
        <w:spacing w:after="0" w:line="262" w:lineRule="auto"/>
        <w:tabs>
          <w:tab w:leader="none" w:pos="192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(Except by Death)</w:t>
      </w:r>
      <w:r>
        <w:rPr>
          <w:rFonts w:ascii="Times New Roman" w:cs="Times New Roman" w:eastAsia="Times New Roman" w:hAnsi="Times New Roman"/>
          <w:sz w:val="22"/>
          <w:szCs w:val="22"/>
          <w:color w:val="auto"/>
        </w:rPr>
        <w:t>. If an Optionee’s Service terminates for any reason other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Optionee’s death, then the Optionee’s Options shall expire on the earliest of the following dates:</w:t>
      </w:r>
    </w:p>
    <w:p>
      <w:pPr>
        <w:spacing w:after="0" w:line="15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expiration date determined pursuant to Subsection (e) </w:t>
      </w:r>
      <w:r>
        <w:rPr>
          <w:rFonts w:ascii="Times New Roman" w:cs="Times New Roman" w:eastAsia="Times New Roman" w:hAnsi="Times New Roman"/>
          <w:sz w:val="17"/>
          <w:szCs w:val="17"/>
          <w:color w:val="auto"/>
        </w:rPr>
        <w:t>above;</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three months after the termination of the Optionee’s Service for any reason other than Disability, or such earlier or later date as the Board of Directors may determine (but in no event earlier than 30 days after the termination of the Optionee’s Service); or</w:t>
      </w:r>
    </w:p>
    <w:p>
      <w:pPr>
        <w:spacing w:after="0" w:line="173"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2689"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six months after the termination of the Optionee’s Service by reason of Disability, or such later date as the Board of Directors may determine.</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 In no event will an Option, or the Shares underlying an Option, become vested and/or exercisable after termination of the Optionee’s Service unless the Board of Directors takes affirmative action or unless expressly provided in a written agreement between the Company and the Optionee.</w:t>
      </w:r>
    </w:p>
    <w:p>
      <w:pPr>
        <w:spacing w:after="0" w:line="183" w:lineRule="exact"/>
        <w:rPr>
          <w:sz w:val="20"/>
          <w:szCs w:val="20"/>
          <w:color w:val="auto"/>
        </w:rPr>
      </w:pPr>
    </w:p>
    <w:p>
      <w:pPr>
        <w:ind w:firstLine="1505"/>
        <w:spacing w:after="0" w:line="262" w:lineRule="auto"/>
        <w:tabs>
          <w:tab w:leader="none" w:pos="194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Leaves of Absence</w:t>
      </w:r>
      <w:r>
        <w:rPr>
          <w:rFonts w:ascii="Times New Roman" w:cs="Times New Roman" w:eastAsia="Times New Roman" w:hAnsi="Times New Roman"/>
          <w:sz w:val="22"/>
          <w:szCs w:val="22"/>
          <w:color w:val="auto"/>
        </w:rPr>
        <w:t>. For purposes of Subsection (f) above, Service shall be deemed to continue while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Optionee is on a bona fide leave of absence approved by the Company in writing.</w:t>
      </w:r>
    </w:p>
    <w:p>
      <w:pPr>
        <w:spacing w:after="0" w:line="149" w:lineRule="exact"/>
        <w:rPr>
          <w:rFonts w:ascii="Times New Roman" w:cs="Times New Roman" w:eastAsia="Times New Roman" w:hAnsi="Times New Roman"/>
          <w:sz w:val="22"/>
          <w:szCs w:val="22"/>
          <w:color w:val="auto"/>
        </w:rPr>
      </w:pPr>
    </w:p>
    <w:p>
      <w:pPr>
        <w:ind w:firstLine="1505"/>
        <w:spacing w:after="0" w:line="262" w:lineRule="auto"/>
        <w:tabs>
          <w:tab w:leader="none" w:pos="192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of Optionee</w:t>
      </w:r>
      <w:r>
        <w:rPr>
          <w:rFonts w:ascii="Times New Roman" w:cs="Times New Roman" w:eastAsia="Times New Roman" w:hAnsi="Times New Roman"/>
          <w:sz w:val="22"/>
          <w:szCs w:val="22"/>
          <w:color w:val="auto"/>
        </w:rPr>
        <w:t>. If an Optionee dies while the Optionee is in Service, then the Optionee’s Options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expire on the earlier of the following dates:</w:t>
      </w:r>
    </w:p>
    <w:p>
      <w:pPr>
        <w:spacing w:after="0" w:line="15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expiration date determined pursuant to Subsection (e) </w:t>
      </w:r>
      <w:r>
        <w:rPr>
          <w:rFonts w:ascii="Times New Roman" w:cs="Times New Roman" w:eastAsia="Times New Roman" w:hAnsi="Times New Roman"/>
          <w:sz w:val="17"/>
          <w:szCs w:val="17"/>
          <w:color w:val="auto"/>
        </w:rPr>
        <w:t>above; or</w:t>
      </w:r>
    </w:p>
    <w:p>
      <w:pPr>
        <w:spacing w:after="0" w:line="206" w:lineRule="exact"/>
        <w:rPr>
          <w:rFonts w:ascii="Times New Roman" w:cs="Times New Roman" w:eastAsia="Times New Roman" w:hAnsi="Times New Roman"/>
          <w:sz w:val="22"/>
          <w:szCs w:val="22"/>
          <w:color w:val="auto"/>
        </w:rPr>
      </w:pPr>
    </w:p>
    <w:p>
      <w:pPr>
        <w:ind w:left="760" w:right="40" w:firstLine="1494"/>
        <w:spacing w:after="0" w:line="258" w:lineRule="auto"/>
        <w:tabs>
          <w:tab w:leader="none" w:pos="2689"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12 months after the Optionee’s death, or such earlier or later date as the Board of Directors may determine (but in no event earlier than six months after the Optionee’s death).</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In no event will an Option, or the Shares underlying an Option, become vested and/or exercisable after the Optionee’s death unless the Board of Directors takes affirmative action or unless expressly provided in a written agreement between the Company and the Optionee.</w:t>
      </w:r>
    </w:p>
    <w:p>
      <w:pPr>
        <w:spacing w:after="0" w:line="179" w:lineRule="exact"/>
        <w:rPr>
          <w:sz w:val="20"/>
          <w:szCs w:val="20"/>
          <w:color w:val="auto"/>
        </w:rPr>
      </w:pPr>
    </w:p>
    <w:p>
      <w:pPr>
        <w:jc w:val="both"/>
        <w:ind w:firstLine="1505"/>
        <w:spacing w:after="0" w:line="238" w:lineRule="auto"/>
        <w:tabs>
          <w:tab w:leader="none" w:pos="195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 on Transfer of Options</w:t>
      </w:r>
      <w:r>
        <w:rPr>
          <w:rFonts w:ascii="Times New Roman" w:cs="Times New Roman" w:eastAsia="Times New Roman" w:hAnsi="Times New Roman"/>
          <w:sz w:val="22"/>
          <w:szCs w:val="22"/>
          <w:color w:val="auto"/>
        </w:rPr>
        <w:t>. An Option shall be transferable by the Optionee only by (i)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beneficiary designation, (ii) a will or (iii) the laws of descent and distribution, except as provided in the next sentence. If the Board of Directors so provides, in a Stock Option Agreement or otherwise, an NSO may be transferable to the extent permitted by Rule 701 under the Securities Act. An ISO may be exercised during the lifetime of the Optionee only by the Optionee or by the Optionee’s guardian or legal representative.</w:t>
      </w:r>
    </w:p>
    <w:p>
      <w:pPr>
        <w:spacing w:after="0" w:line="176"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5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Rights as a Stockholder</w:t>
      </w:r>
      <w:r>
        <w:rPr>
          <w:rFonts w:ascii="Times New Roman" w:cs="Times New Roman" w:eastAsia="Times New Roman" w:hAnsi="Times New Roman"/>
          <w:sz w:val="22"/>
          <w:szCs w:val="22"/>
          <w:color w:val="auto"/>
        </w:rPr>
        <w:t>. An Optionee, or a transferee of an Optionee, shall have no rights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 with respect to any Shares covered by the Optionee’s Option until such person submits a notice of exercise, pays the Exercise Price and satisfies all applicable withholding taxes pursuant to the terms of such Option.</w:t>
      </w:r>
    </w:p>
    <w:p>
      <w:pPr>
        <w:spacing w:after="0" w:line="167"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4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Extension and Assumption of Options</w:t>
      </w:r>
      <w:r>
        <w:rPr>
          <w:rFonts w:ascii="Times New Roman" w:cs="Times New Roman" w:eastAsia="Times New Roman" w:hAnsi="Times New Roman"/>
          <w:sz w:val="22"/>
          <w:szCs w:val="22"/>
          <w:color w:val="auto"/>
        </w:rPr>
        <w:t>. Within the limitations of the Plan, the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may modify, reprice, extend or assume outstanding Options or may accept the cancellation of outstanding options (whether granted by the Company or another issuer) in return for the grant of new Options or a different type of award for the same or a different number of Shares and at the same or a different Exercise Price (if applicable). The foregoing notwithstanding, no modification of an Option shall, without the consent of the Optionee, impair the Optionee’s rights or increase the Optionee’s obligations under such Option; provided, however, that a modification of an Option that is otherwise favorable to the Optionee (for example, providing the Optionee with additional time to exercise the Option after termination of employment or providing for additional forms of payment) but causes the Option to lose its tax- favored status (for example, as an ISO) shall not require the consent of the Optionee.</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7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Right to Cancel Certain Options</w:t>
      </w:r>
      <w:r>
        <w:rPr>
          <w:rFonts w:ascii="Times New Roman" w:cs="Times New Roman" w:eastAsia="Times New Roman" w:hAnsi="Times New Roman"/>
          <w:sz w:val="22"/>
          <w:szCs w:val="22"/>
          <w:color w:val="auto"/>
        </w:rPr>
        <w:t>. Any other provision of the Plan or a Stock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notwithstanding, the Company shall have the right at any time to cancel an Option that was not granted in compliance with Rule 701 under the Securities Act. Prior to canceling such Option, the Company shall give the Optionee not less than 30 days’ notice in writing. If the Company elects to cancel such Option, it shall deliver to the Optionee consideration with an aggregate value equal to the excess of (i) the Fair Market Value of the Shares subject to such Option as of the time of the cancellation over (ii) the Exercise Price of such Option. The consideration may be delivered in the form of cash or cash equivalents, in the form of Shares, or a combination of both. If the consideration would be a negative amount, such Option may be cancelled without the delivery of any consideration.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 TERMS AND CONDITIONS OF RESTRICTED STOCK UNITS</w:t>
      </w:r>
    </w:p>
    <w:p>
      <w:pPr>
        <w:spacing w:after="0" w:line="206" w:lineRule="exact"/>
        <w:rPr>
          <w:sz w:val="20"/>
          <w:szCs w:val="20"/>
          <w:color w:val="auto"/>
        </w:rPr>
      </w:pPr>
    </w:p>
    <w:p>
      <w:pPr>
        <w:jc w:val="both"/>
        <w:ind w:firstLine="1505"/>
        <w:spacing w:after="0" w:line="238" w:lineRule="auto"/>
        <w:tabs>
          <w:tab w:leader="none" w:pos="192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 Unit Agreement</w:t>
      </w:r>
      <w:r>
        <w:rPr>
          <w:rFonts w:ascii="Times New Roman" w:cs="Times New Roman" w:eastAsia="Times New Roman" w:hAnsi="Times New Roman"/>
          <w:sz w:val="22"/>
          <w:szCs w:val="22"/>
          <w:color w:val="auto"/>
        </w:rPr>
        <w:t>. Each grant of Restricted Stock Units under the Plan shall be evidenced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 Restricted Stock Unit Agreement between the recipient and the Company. Such Restricted Stock Units shall be subject to all applicable terms and conditions of the Plan and may be subject to any other terms and conditions that are not inconsistent with the Plan and which the Board of Directors deems appropriate for inclusion in a Restricted Stock Unit Agreement. The provisions of the various Restricted Stock Unit Agreements entered into under the Plan need not be identical.</w:t>
      </w:r>
    </w:p>
    <w:p>
      <w:pPr>
        <w:spacing w:after="0" w:line="176" w:lineRule="exact"/>
        <w:rPr>
          <w:rFonts w:ascii="Times New Roman" w:cs="Times New Roman" w:eastAsia="Times New Roman" w:hAnsi="Times New Roman"/>
          <w:sz w:val="22"/>
          <w:szCs w:val="22"/>
          <w:color w:val="auto"/>
        </w:rPr>
      </w:pPr>
    </w:p>
    <w:p>
      <w:pPr>
        <w:ind w:firstLine="1505"/>
        <w:spacing w:after="0" w:line="262" w:lineRule="auto"/>
        <w:tabs>
          <w:tab w:leader="none" w:pos="198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 for Restricted Stock Units</w:t>
      </w:r>
      <w:r>
        <w:rPr>
          <w:rFonts w:ascii="Times New Roman" w:cs="Times New Roman" w:eastAsia="Times New Roman" w:hAnsi="Times New Roman"/>
          <w:sz w:val="22"/>
          <w:szCs w:val="22"/>
          <w:color w:val="auto"/>
        </w:rPr>
        <w:t>. No cash consideration shall be required of the recipient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the grant of Restricted Stock Units.</w:t>
      </w:r>
    </w:p>
    <w:p>
      <w:pPr>
        <w:spacing w:after="0" w:line="149" w:lineRule="exact"/>
        <w:rPr>
          <w:rFonts w:ascii="Times New Roman" w:cs="Times New Roman" w:eastAsia="Times New Roman" w:hAnsi="Times New Roman"/>
          <w:sz w:val="22"/>
          <w:szCs w:val="22"/>
          <w:color w:val="auto"/>
        </w:rPr>
      </w:pPr>
    </w:p>
    <w:p>
      <w:pPr>
        <w:ind w:firstLine="1505"/>
        <w:spacing w:after="0" w:line="262" w:lineRule="auto"/>
        <w:tabs>
          <w:tab w:leader="none" w:pos="198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Conditions</w:t>
      </w:r>
      <w:r>
        <w:rPr>
          <w:rFonts w:ascii="Times New Roman" w:cs="Times New Roman" w:eastAsia="Times New Roman" w:hAnsi="Times New Roman"/>
          <w:sz w:val="22"/>
          <w:szCs w:val="22"/>
          <w:color w:val="auto"/>
        </w:rPr>
        <w:t>. Each Restricted Stock Unit Agreement shall specify the vesting requirements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to the Restricted Stock Units subject thereto, which the Board of Directors shall determine in its sole discretion.</w:t>
      </w:r>
    </w:p>
    <w:p>
      <w:pPr>
        <w:spacing w:after="0" w:line="149"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8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Forfeiture</w:t>
      </w:r>
      <w:r>
        <w:rPr>
          <w:rFonts w:ascii="Times New Roman" w:cs="Times New Roman" w:eastAsia="Times New Roman" w:hAnsi="Times New Roman"/>
          <w:sz w:val="22"/>
          <w:szCs w:val="22"/>
          <w:color w:val="auto"/>
        </w:rPr>
        <w:t>. Unless a Restricted Stock Unit Agreement provides otherwise, upon termination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recipient’s Service and upon such other times specified in the Restricted Stock Unit Agreement, any unvested Restricted Stock Units shall be forfeited to the Company.</w:t>
      </w:r>
    </w:p>
    <w:p>
      <w:pPr>
        <w:spacing w:after="0" w:line="167"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4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Voting and Dividend Rights</w:t>
      </w:r>
      <w:r>
        <w:rPr>
          <w:rFonts w:ascii="Times New Roman" w:cs="Times New Roman" w:eastAsia="Times New Roman" w:hAnsi="Times New Roman"/>
          <w:sz w:val="22"/>
          <w:szCs w:val="22"/>
          <w:color w:val="auto"/>
        </w:rPr>
        <w:t>. The holders of Restricted Stock Units shall have no voting rights. Prior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or forfeiture, any Restricted Stock Unit granted under the Plan may, at the discretion of the Board of Directors, carry with it a right to dividend equivalents. Such right entitles the holder to be credited with an amount equal to all cash dividends paid on one Share while the Restricted Stock Unit is outstanding. Dividend equivalents may be converted into additional Restricted Stock Units. Settlement of dividend equivalents may be made in the form of cash, in the form of Shares, or in a combination of both. Prior to distribution, any dividend equivalents that are not paid shall be subject to the same conditions and restrictions as the Restricted Stock Units to which they attach.</w:t>
      </w:r>
    </w:p>
    <w:p>
      <w:pPr>
        <w:spacing w:after="0" w:line="175" w:lineRule="exact"/>
        <w:rPr>
          <w:rFonts w:ascii="Times New Roman" w:cs="Times New Roman" w:eastAsia="Times New Roman" w:hAnsi="Times New Roman"/>
          <w:sz w:val="22"/>
          <w:szCs w:val="22"/>
          <w:color w:val="auto"/>
        </w:rPr>
      </w:pPr>
    </w:p>
    <w:p>
      <w:pPr>
        <w:jc w:val="both"/>
        <w:ind w:firstLine="1505"/>
        <w:spacing w:after="0" w:line="237" w:lineRule="auto"/>
        <w:tabs>
          <w:tab w:leader="none" w:pos="194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Form and Time of Settlement of Restricted Stock Units</w:t>
      </w:r>
      <w:r>
        <w:rPr>
          <w:rFonts w:ascii="Times New Roman" w:cs="Times New Roman" w:eastAsia="Times New Roman" w:hAnsi="Times New Roman"/>
          <w:sz w:val="22"/>
          <w:szCs w:val="22"/>
          <w:color w:val="auto"/>
        </w:rPr>
        <w:t>. Settlement of vested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made in the form of (i) cash, (ii) Shares or (iii) any combination of both, as determined by the Board of Directors. The actual number of Restricted Stock Units eligible for settlement may be larger or smaller than the number included in the original award, based on predetermined performance factors. Vested Restricted Stock Units shall be settled in such manner and at such time(s) as specified in the Restricted Stock Unit Agreement. Until Restricted Stock Units are settled, the number of Shares represented by such Restricted Stock Units shall be subject to adjustment pursuant to Section 9.</w:t>
      </w:r>
    </w:p>
    <w:p>
      <w:pPr>
        <w:spacing w:after="0" w:line="175"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5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of Recipient</w:t>
      </w:r>
      <w:r>
        <w:rPr>
          <w:rFonts w:ascii="Times New Roman" w:cs="Times New Roman" w:eastAsia="Times New Roman" w:hAnsi="Times New Roman"/>
          <w:sz w:val="22"/>
          <w:szCs w:val="22"/>
          <w:color w:val="auto"/>
        </w:rPr>
        <w:t>. Any Restricted Stock Units that become distributable after the Participant’s death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distributed to the Participant’s estate or to any person who has acquired such Restricted Stock Units directly from the recipient by beneficiary designation, bequest or inheritance.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1" w:lineRule="exact"/>
        <w:rPr>
          <w:sz w:val="20"/>
          <w:szCs w:val="20"/>
          <w:color w:val="auto"/>
        </w:rPr>
      </w:pPr>
    </w:p>
    <w:p>
      <w:pPr>
        <w:jc w:val="both"/>
        <w:ind w:firstLine="1505"/>
        <w:spacing w:after="0" w:line="246" w:lineRule="auto"/>
        <w:tabs>
          <w:tab w:leader="none" w:pos="194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Creditors’ Rights</w:t>
      </w:r>
      <w:r>
        <w:rPr>
          <w:rFonts w:ascii="Times New Roman" w:cs="Times New Roman" w:eastAsia="Times New Roman" w:hAnsi="Times New Roman"/>
          <w:sz w:val="22"/>
          <w:szCs w:val="22"/>
          <w:color w:val="auto"/>
        </w:rPr>
        <w:t>. A holder of Restricted Stock Units shall have no rights other than those of a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creditor of the Company. Restricted Stock Units represent an unfunded and unsecured obligation of the Company, subject to the terms and conditions of the applicable Restricted Stock Unit Agreement.</w:t>
      </w:r>
    </w:p>
    <w:p>
      <w:pPr>
        <w:spacing w:after="0" w:line="167" w:lineRule="exact"/>
        <w:rPr>
          <w:rFonts w:ascii="Times New Roman" w:cs="Times New Roman" w:eastAsia="Times New Roman" w:hAnsi="Times New Roman"/>
          <w:sz w:val="22"/>
          <w:szCs w:val="22"/>
          <w:color w:val="auto"/>
        </w:rPr>
      </w:pPr>
    </w:p>
    <w:p>
      <w:pPr>
        <w:jc w:val="both"/>
        <w:ind w:firstLine="1505"/>
        <w:spacing w:after="0" w:line="256" w:lineRule="auto"/>
        <w:tabs>
          <w:tab w:leader="none" w:pos="1929"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Modification, Extension and Assumption of Restricted Stock Units</w:t>
      </w:r>
      <w:r>
        <w:rPr>
          <w:rFonts w:ascii="Times New Roman" w:cs="Times New Roman" w:eastAsia="Times New Roman" w:hAnsi="Times New Roman"/>
          <w:sz w:val="21"/>
          <w:szCs w:val="21"/>
          <w:color w:val="auto"/>
        </w:rPr>
        <w:t>. Within the limitations of the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of Directors may modify, extend or assume outstanding restricted stock units (whether granted by the Company or a different issuer). The foregoing notwithstanding, no modification of a Restricted Stock Unit shall, without the consent of the Participant, impair the Participant’s rights or increase the Participant’s obligations under such Restricted Stock Unit.</w:t>
      </w:r>
    </w:p>
    <w:p>
      <w:pPr>
        <w:spacing w:after="0" w:line="157" w:lineRule="exact"/>
        <w:rPr>
          <w:rFonts w:ascii="Times New Roman" w:cs="Times New Roman" w:eastAsia="Times New Roman" w:hAnsi="Times New Roman"/>
          <w:sz w:val="21"/>
          <w:szCs w:val="21"/>
          <w:color w:val="auto"/>
        </w:rPr>
      </w:pPr>
    </w:p>
    <w:p>
      <w:pPr>
        <w:jc w:val="both"/>
        <w:ind w:firstLine="1505"/>
        <w:spacing w:after="0" w:line="241" w:lineRule="auto"/>
        <w:tabs>
          <w:tab w:leader="none" w:pos="192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 on Transfer of Restricted Stock Units</w:t>
      </w:r>
      <w:r>
        <w:rPr>
          <w:rFonts w:ascii="Times New Roman" w:cs="Times New Roman" w:eastAsia="Times New Roman" w:hAnsi="Times New Roman"/>
          <w:sz w:val="22"/>
          <w:szCs w:val="22"/>
          <w:color w:val="auto"/>
        </w:rPr>
        <w:t>. A Restricted Stock Unit shall be transferable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only by (i) a beneficiary designation, (ii) a will or (iii) the laws of descent and distribution, except as provided in the next sentence. In addition, if the Board of Directors so provides, in a Restricted Stock Unit Agreement or otherwise, a Restricted Stock Unit shall also be transferable to the extent permitted by Rule 701 under the Securities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 PAYMENT FOR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4"/>
        <w:spacing w:after="0" w:line="237" w:lineRule="auto"/>
        <w:tabs>
          <w:tab w:leader="none" w:pos="1928"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 Rule</w:t>
      </w:r>
      <w:r>
        <w:rPr>
          <w:rFonts w:ascii="Times New Roman" w:cs="Times New Roman" w:eastAsia="Times New Roman" w:hAnsi="Times New Roman"/>
          <w:sz w:val="22"/>
          <w:szCs w:val="22"/>
          <w:color w:val="auto"/>
        </w:rPr>
        <w:t>. The entire Purchase Price or Exercise Price of Shares issued under the Plan shall be payable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cash or cash equivalents at the time when such Shares are purchased, except as otherwise provided in this Section 8. In addition, the Board of Directors in its sole discretion may also permit payment through any of the methods described in (b) through</w:t>
      </w:r>
    </w:p>
    <w:p>
      <w:pPr>
        <w:ind w:left="320" w:hanging="312"/>
        <w:spacing w:after="0"/>
        <w:tabs>
          <w:tab w:leader="none" w:pos="3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w:t>
      </w:r>
    </w:p>
    <w:p>
      <w:pPr>
        <w:spacing w:after="0" w:line="178" w:lineRule="exact"/>
        <w:rPr>
          <w:rFonts w:ascii="Times New Roman" w:cs="Times New Roman" w:eastAsia="Times New Roman" w:hAnsi="Times New Roman"/>
          <w:sz w:val="22"/>
          <w:szCs w:val="22"/>
          <w:color w:val="auto"/>
        </w:rPr>
      </w:pPr>
    </w:p>
    <w:p>
      <w:pPr>
        <w:ind w:firstLine="1504"/>
        <w:spacing w:after="0" w:line="262" w:lineRule="auto"/>
        <w:tabs>
          <w:tab w:leader="none" w:pos="194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Services Rendered</w:t>
      </w:r>
      <w:r>
        <w:rPr>
          <w:rFonts w:ascii="Times New Roman" w:cs="Times New Roman" w:eastAsia="Times New Roman" w:hAnsi="Times New Roman"/>
          <w:sz w:val="22"/>
          <w:szCs w:val="22"/>
          <w:color w:val="auto"/>
        </w:rPr>
        <w:t>. Shares may be awarded under the Plan in consideration of services rendered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 Parent or a Subsidiary prior to the award.</w:t>
      </w:r>
    </w:p>
    <w:p>
      <w:pPr>
        <w:spacing w:after="0" w:line="149" w:lineRule="exact"/>
        <w:rPr>
          <w:rFonts w:ascii="Times New Roman" w:cs="Times New Roman" w:eastAsia="Times New Roman" w:hAnsi="Times New Roman"/>
          <w:sz w:val="22"/>
          <w:szCs w:val="22"/>
          <w:color w:val="auto"/>
        </w:rPr>
      </w:pPr>
    </w:p>
    <w:p>
      <w:pPr>
        <w:jc w:val="both"/>
        <w:ind w:firstLine="1504"/>
        <w:spacing w:after="0" w:line="237" w:lineRule="auto"/>
        <w:tabs>
          <w:tab w:leader="none" w:pos="192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Promissory Note</w:t>
      </w:r>
      <w:r>
        <w:rPr>
          <w:rFonts w:ascii="Times New Roman" w:cs="Times New Roman" w:eastAsia="Times New Roman" w:hAnsi="Times New Roman"/>
          <w:sz w:val="22"/>
          <w:szCs w:val="22"/>
          <w:color w:val="auto"/>
        </w:rPr>
        <w:t>. All or a portion of the Purchase Price or Exercise Price (as the case may be)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issued under the Plan may be paid with a promissory note.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in its sole discretion shall specify the term, interest rate, recourse, amortization requirements (if any) and other provisions of such note.</w:t>
      </w:r>
    </w:p>
    <w:p>
      <w:pPr>
        <w:spacing w:after="0" w:line="175" w:lineRule="exact"/>
        <w:rPr>
          <w:rFonts w:ascii="Times New Roman" w:cs="Times New Roman" w:eastAsia="Times New Roman" w:hAnsi="Times New Roman"/>
          <w:sz w:val="22"/>
          <w:szCs w:val="22"/>
          <w:color w:val="auto"/>
        </w:rPr>
      </w:pPr>
    </w:p>
    <w:p>
      <w:pPr>
        <w:jc w:val="both"/>
        <w:ind w:firstLine="1504"/>
        <w:spacing w:after="0" w:line="246" w:lineRule="auto"/>
        <w:tabs>
          <w:tab w:leader="none" w:pos="192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Surrender of Stock</w:t>
      </w:r>
      <w:r>
        <w:rPr>
          <w:rFonts w:ascii="Times New Roman" w:cs="Times New Roman" w:eastAsia="Times New Roman" w:hAnsi="Times New Roman"/>
          <w:sz w:val="22"/>
          <w:szCs w:val="22"/>
          <w:color w:val="auto"/>
        </w:rPr>
        <w:t>. All or any part of the Exercise Price may be paid by surrendering, or attesting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ownership of, Shares that are already owned by the Optionee. Such Shares shall be surrendered to the Company in good form for transfer and shall be valued at their Fair Market Value as of the date when the Option is exercised.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1" w:lineRule="exact"/>
        <w:rPr>
          <w:sz w:val="20"/>
          <w:szCs w:val="20"/>
          <w:color w:val="auto"/>
        </w:rPr>
      </w:pPr>
    </w:p>
    <w:p>
      <w:pPr>
        <w:jc w:val="both"/>
        <w:ind w:right="20" w:firstLine="1505"/>
        <w:spacing w:after="0" w:line="246" w:lineRule="auto"/>
        <w:tabs>
          <w:tab w:leader="none" w:pos="192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Cashless Exercise</w:t>
      </w:r>
      <w:r>
        <w:rPr>
          <w:rFonts w:ascii="Times New Roman" w:cs="Times New Roman" w:eastAsia="Times New Roman" w:hAnsi="Times New Roman"/>
          <w:sz w:val="22"/>
          <w:szCs w:val="22"/>
          <w:color w:val="auto"/>
        </w:rPr>
        <w:t>. All or part of the Exercise Price and any withholding taxes may be paid pursuant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cashless exercise arrangement (whether through a securities broker or otherwise) established by the Company whereby Shares subject to an Option are sold and all or part of the sale proceeds are delivered to the Company.</w:t>
      </w:r>
    </w:p>
    <w:p>
      <w:pPr>
        <w:spacing w:after="0" w:line="167" w:lineRule="exact"/>
        <w:rPr>
          <w:rFonts w:ascii="Times New Roman" w:cs="Times New Roman" w:eastAsia="Times New Roman" w:hAnsi="Times New Roman"/>
          <w:sz w:val="22"/>
          <w:szCs w:val="22"/>
          <w:color w:val="auto"/>
        </w:rPr>
      </w:pPr>
    </w:p>
    <w:p>
      <w:pPr>
        <w:jc w:val="both"/>
        <w:ind w:firstLine="1504"/>
        <w:spacing w:after="0" w:line="247" w:lineRule="auto"/>
        <w:tabs>
          <w:tab w:leader="none" w:pos="192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Net Exercise</w:t>
      </w:r>
      <w:r>
        <w:rPr>
          <w:rFonts w:ascii="Times New Roman" w:cs="Times New Roman" w:eastAsia="Times New Roman" w:hAnsi="Times New Roman"/>
          <w:sz w:val="21"/>
          <w:szCs w:val="21"/>
          <w:color w:val="auto"/>
        </w:rPr>
        <w:t>. An Option may permit exercise through a “net exercise” arrangement pursuant to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Company will reduce the number of Shares issued upon exercise by the largest whole number of Shares having an aggregate Fair Market Value (determined by the Board of Directors as of the exercise date) that does not exceed the aggregate Exercise Price or the sum of the aggregate Exercise Price and any withholding taxes (with the Company accepting from the Optionee payment of cash or cash equivalents to satisfy any remaining balance of the aggregate Exercise Price and, if applicable, any additional withholding taxes not satisfied through such reduction in Shares);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Shares subject to an Option are withheld in this manner, the number of Shares subject to the Option following the net exercise will be reduced by the sum of the number of Shares withheld and the number of Shares delivered to the Optionee as a result of the exercise.</w:t>
      </w:r>
    </w:p>
    <w:p>
      <w:pPr>
        <w:spacing w:after="0" w:line="171" w:lineRule="exact"/>
        <w:rPr>
          <w:rFonts w:ascii="Times New Roman" w:cs="Times New Roman" w:eastAsia="Times New Roman" w:hAnsi="Times New Roman"/>
          <w:sz w:val="21"/>
          <w:szCs w:val="21"/>
          <w:color w:val="auto"/>
        </w:rPr>
      </w:pPr>
    </w:p>
    <w:p>
      <w:pPr>
        <w:jc w:val="both"/>
        <w:ind w:firstLine="1504"/>
        <w:spacing w:after="0" w:line="246" w:lineRule="auto"/>
        <w:tabs>
          <w:tab w:leader="none" w:pos="195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Forms of Payment</w:t>
      </w:r>
      <w:r>
        <w:rPr>
          <w:rFonts w:ascii="Times New Roman" w:cs="Times New Roman" w:eastAsia="Times New Roman" w:hAnsi="Times New Roman"/>
          <w:sz w:val="22"/>
          <w:szCs w:val="22"/>
          <w:color w:val="auto"/>
        </w:rPr>
        <w:t>. To the extent that an Award Agreement so provides, the Purchase Price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Price of Shares issued under the Plan may be paid in any other form permitted by the Delaware General Corporation Law, as amended.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9. ADJUSTMENT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3" w:lineRule="auto"/>
        <w:tabs>
          <w:tab w:leader="none" w:pos="194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In the event of a subdivision of the outstanding Stock, a declaration of a dividend payable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a combination or consolidation of the outstanding Stock into a lesser number of Shares, a reclassification, or any other increase or decrease in the number of issued shares of Stock effected without receipt of consideration by the Company, proportionate adjustments shall automatically be made, as applicable, in each of (i) the number and kind of Shares available under Section 4, (ii) the number and kind of Shares covered by each outstanding Option, Award of Restricted Stock Units and any outstanding and unexercised right to purchase Shares that has not yet expired pursuant to Section 5(b), (iii) the Exercise Price under each outstanding Option and the Purchase Price applicable to any unexercised stock purchase right described in clause (ii) above, and (iv) any repurchase price that applies to Shares granted under the Plan pursuant to the terms of a Company repurchase right under the applicable Award Agreement.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the items listed in clauses (i) through (iv) above; provided, however, that the Board of Directors shall in any event make such adjustments as may be required by Section 25102(o) of the California Corporations Code to the extent the Company is relying on the exemption afforded thereunder with respect to an Award. No fractional Shares shall be issued under the Plan as a result of an adjustment under this Section 9(a), although the Board of Directors in its sole discretion may make a cash payment in lieu of fractional Shares.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1" w:lineRule="exact"/>
        <w:rPr>
          <w:sz w:val="20"/>
          <w:szCs w:val="20"/>
          <w:color w:val="auto"/>
        </w:rPr>
      </w:pPr>
    </w:p>
    <w:p>
      <w:pPr>
        <w:jc w:val="both"/>
        <w:ind w:firstLine="1505"/>
        <w:spacing w:after="0" w:line="235" w:lineRule="auto"/>
        <w:tabs>
          <w:tab w:leader="none" w:pos="192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Corporate Transactions</w:t>
      </w:r>
      <w:r>
        <w:rPr>
          <w:rFonts w:ascii="Times New Roman" w:cs="Times New Roman" w:eastAsia="Times New Roman" w:hAnsi="Times New Roman"/>
          <w:sz w:val="22"/>
          <w:szCs w:val="22"/>
          <w:color w:val="auto"/>
        </w:rPr>
        <w:t>. In the event that the Company is a party to a merger or consolidation, or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of a sale of all or substantially all of the Company’s stock or assets, all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Board of Directors in its capacity as administrator of the Plan, with such determination having final and binding effect on all parties), which agreement or determination need not treat all Awards (or all portions of an Award) in an identical manner. The treatment specified in the transaction agreement or as determined by the Board of Directors may include (without limitation) one or more of the following with respect to each outstanding Award:</w:t>
      </w:r>
    </w:p>
    <w:p>
      <w:pPr>
        <w:spacing w:after="0" w:line="182"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689"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the surviving corporation or a parent thereof may continue or assume the Award or substitute a comparable award for the Award (including, but not limited to, an award to acquire the same consideration paid to the holders of Shares in the transaction). For avoidance of doubt, a comparable award need not be the same type of award as the Award for which it is substituted, and, in the case of an Option, need not have the same tax-status (e.g., an NSO may be substituted for an ISO).</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3" w:lineRule="auto"/>
        <w:tabs>
          <w:tab w:leader="none" w:pos="2689"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cancellation of the Award and a payment to the Participant with respect to each Share subject to the portion of the Award that is vested as of the transaction date equal to the excess of (A) the value, as determined by the Board of Directors in its absolute discretion, of the property (including cash) received by the holder of a share of Stock as a result of the transaction, over (if applicable) (B) the per-Share Exercise Price of the Award (such excess, the “</w:t>
      </w:r>
      <w:r>
        <w:rPr>
          <w:rFonts w:ascii="Times New Roman" w:cs="Times New Roman" w:eastAsia="Times New Roman" w:hAnsi="Times New Roman"/>
          <w:sz w:val="22"/>
          <w:szCs w:val="22"/>
          <w:b w:val="1"/>
          <w:bCs w:val="1"/>
          <w:color w:val="auto"/>
        </w:rPr>
        <w:t>Spread</w:t>
      </w:r>
      <w:r>
        <w:rPr>
          <w:rFonts w:ascii="Times New Roman" w:cs="Times New Roman" w:eastAsia="Times New Roman" w:hAnsi="Times New Roman"/>
          <w:sz w:val="22"/>
          <w:szCs w:val="22"/>
          <w:color w:val="auto"/>
        </w:rPr>
        <w:t>”). Such payment shall be made in the form of cash, cash equivalents, or securities of the surviving corporation or its parent having a value equal to the Spread. In addition, any escrow, indemnification, holdback, earn-out or similar provisions in the transaction agreement may apply to such payment to the same extent and in the same manner as such provisions apply to the holders of Stock. Receipt of the payment described in this Subsection (b)(ii) may be conditioned upon the Participant acknowledging such escrow, indemnification, holdback, earn- out or other provisions on a form prescribed by the Company. If the Spread applicable to an Award is zero or a negative number, then the Award may be cancelled without making a payment to the Participant.</w:t>
      </w:r>
    </w:p>
    <w:p>
      <w:pPr>
        <w:spacing w:after="0" w:line="187" w:lineRule="exact"/>
        <w:rPr>
          <w:rFonts w:ascii="Times New Roman" w:cs="Times New Roman" w:eastAsia="Times New Roman" w:hAnsi="Times New Roman"/>
          <w:sz w:val="22"/>
          <w:szCs w:val="22"/>
          <w:color w:val="auto"/>
        </w:rPr>
      </w:pPr>
    </w:p>
    <w:p>
      <w:pPr>
        <w:jc w:val="both"/>
        <w:ind w:left="760" w:firstLine="1494"/>
        <w:spacing w:after="0" w:line="247" w:lineRule="auto"/>
        <w:tabs>
          <w:tab w:leader="none" w:pos="2689"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Even if the Spread applicable to an Option is a positive number, the Option may be cancelled without the payment of any consideration; provided that the Optionee shall be notified of such treatment and given an opportunity to exercise the Option (to the extent the Option is vested or becomes vested as of the effective date of the transaction) during a period of not less than five (5) business days preceding the effective date of the transaction, unless</w:t>
      </w:r>
    </w:p>
    <w:p>
      <w:pPr>
        <w:spacing w:after="0" w:line="1" w:lineRule="exact"/>
        <w:rPr>
          <w:rFonts w:ascii="Times New Roman" w:cs="Times New Roman" w:eastAsia="Times New Roman" w:hAnsi="Times New Roman"/>
          <w:sz w:val="21"/>
          <w:szCs w:val="21"/>
          <w:color w:val="auto"/>
        </w:rPr>
      </w:pPr>
    </w:p>
    <w:p>
      <w:pPr>
        <w:ind w:left="760" w:hanging="3"/>
        <w:spacing w:after="0" w:line="237" w:lineRule="auto"/>
        <w:tabs>
          <w:tab w:leader="none" w:pos="112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shorter period is required to permit a timely closing of the transaction and (B) such shorter period still offers the Optionee a reasonable opportunity to exercise the Option.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5" w:lineRule="exact"/>
        <w:rPr>
          <w:sz w:val="20"/>
          <w:szCs w:val="20"/>
          <w:color w:val="auto"/>
        </w:rPr>
      </w:pPr>
    </w:p>
    <w:p>
      <w:pPr>
        <w:jc w:val="both"/>
        <w:ind w:left="760" w:firstLine="1494"/>
        <w:spacing w:after="0" w:line="238" w:lineRule="auto"/>
        <w:tabs>
          <w:tab w:leader="none" w:pos="268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Option: (A) suspension of the Optionee’s right to exercise the Option during a limited period of time preceding the closing of the transaction if such suspension is administratively necessary to facilitate the closing of the transaction and/or (B) termination of any right the Optionee has to exercise the Option prior to vesting in the Shares subject to the Option (i.e., “early exercise”), such that following the closing of the transaction the Option may only be exercised to the extent it is vested.</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For the avoidance of doubt, the Board of Directors has discretion to accelerate, in whole or part, the vesting and exercisability of an Award in connection with a corporate transaction covered by this Section 9(b).</w:t>
      </w:r>
    </w:p>
    <w:p>
      <w:pPr>
        <w:spacing w:after="0" w:line="154" w:lineRule="exact"/>
        <w:rPr>
          <w:sz w:val="20"/>
          <w:szCs w:val="20"/>
          <w:color w:val="auto"/>
        </w:rPr>
      </w:pPr>
    </w:p>
    <w:p>
      <w:pPr>
        <w:ind w:firstLine="1505"/>
        <w:spacing w:after="0" w:line="262" w:lineRule="auto"/>
        <w:tabs>
          <w:tab w:leader="none" w:pos="194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To the extent not previously exercised or settled, Options,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and other rights to purchase Shares shall terminate immediately prior to the liquidation or dissolution of the Company.</w:t>
      </w:r>
    </w:p>
    <w:p>
      <w:pPr>
        <w:spacing w:after="0" w:line="149"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4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Reservation of Rights</w:t>
      </w:r>
      <w:r>
        <w:rPr>
          <w:rFonts w:ascii="Times New Roman" w:cs="Times New Roman" w:eastAsia="Times New Roman" w:hAnsi="Times New Roman"/>
          <w:sz w:val="22"/>
          <w:szCs w:val="22"/>
          <w:color w:val="auto"/>
        </w:rPr>
        <w:t>. Except as provided in Section 7(e) or this Section 9, a Participant shall have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by reason of (i) any 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 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192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Securities Law Requirements</w:t>
      </w:r>
      <w:r>
        <w:rPr>
          <w:rFonts w:ascii="Times New Roman" w:cs="Times New Roman" w:eastAsia="Times New Roman" w:hAnsi="Times New Roman"/>
          <w:sz w:val="22"/>
          <w:szCs w:val="22"/>
          <w:color w:val="auto"/>
        </w:rPr>
        <w:t>. Shares shall not be issued under the Plan unless, in the opinion of counsel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acceptable to the Board of Directors, the issuance and delivery of such Shares complies with (or is exempt from) all applicable requirements of law, including (without limitation) the Securities Act, the rules and regulations promulgated thereunder, state securities laws and regulations, and the regulations of any stock exchange or other securities market on which the Company’s securities may then be traded. The Company shall not be liable for a failure to issue Shares as a result of such requirements. Without limiting the foregoing, the Company may suspend the exercise of some or all outstanding Options for a period of up to 60 days in order to facilitate compliance with Securities Act Rule 701(e).</w:t>
      </w:r>
    </w:p>
    <w:p>
      <w:pPr>
        <w:spacing w:after="0" w:line="175"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4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Retention Rights</w:t>
      </w:r>
      <w:r>
        <w:rPr>
          <w:rFonts w:ascii="Times New Roman" w:cs="Times New Roman" w:eastAsia="Times New Roman" w:hAnsi="Times New Roman"/>
          <w:sz w:val="22"/>
          <w:szCs w:val="22"/>
          <w:color w:val="auto"/>
        </w:rPr>
        <w:t>. Nothing in the Plan or in any right or Award granted under the Plan shall confer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Participant any right to continue in Service for any period of specific duration or interfere with or otherwise restrict in any way the rights of the Company (or any Parent or Subsidiary employing or retaining the Participant) or of the Participant, which rights are hereby expressly reserved by each, to terminate his or her Service at any time and for any reason, with or without cause.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1" w:lineRule="exact"/>
        <w:rPr>
          <w:sz w:val="20"/>
          <w:szCs w:val="20"/>
          <w:color w:val="auto"/>
        </w:rPr>
      </w:pPr>
    </w:p>
    <w:p>
      <w:pPr>
        <w:jc w:val="both"/>
        <w:ind w:firstLine="1505"/>
        <w:spacing w:after="0" w:line="246" w:lineRule="auto"/>
        <w:tabs>
          <w:tab w:leader="none" w:pos="192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Treatment as Compensation</w:t>
      </w:r>
      <w:r>
        <w:rPr>
          <w:rFonts w:ascii="Times New Roman" w:cs="Times New Roman" w:eastAsia="Times New Roman" w:hAnsi="Times New Roman"/>
          <w:sz w:val="22"/>
          <w:szCs w:val="22"/>
          <w:color w:val="auto"/>
        </w:rPr>
        <w:t>. Any compensation that an individual earns or is deemed to earn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shall not be considered a part of his or her compensation for purposes of calculating contributions, accruals or benefits under any other plan or program that is maintained or funded by the Company, a Parent or a Subsidiary.</w:t>
      </w:r>
    </w:p>
    <w:p>
      <w:pPr>
        <w:spacing w:after="0" w:line="167"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5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The Plan and all awards, sales and grants under the Plan shall be governed by,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in accordance with, the laws of the State of Delaware (except its choice-of-law provisions), as such laws are applied to contracts entered into and performed in such State.</w:t>
      </w:r>
    </w:p>
    <w:p>
      <w:pPr>
        <w:spacing w:after="0" w:line="167"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4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 and Restrictions on Shares</w:t>
      </w:r>
      <w:r>
        <w:rPr>
          <w:rFonts w:ascii="Times New Roman" w:cs="Times New Roman" w:eastAsia="Times New Roman" w:hAnsi="Times New Roman"/>
          <w:sz w:val="22"/>
          <w:szCs w:val="22"/>
          <w:color w:val="auto"/>
        </w:rPr>
        <w:t>. Shares issued under the Plan shall be subject to such forfeiture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rights of repurchase, rights of first refusal, other transfer restrictions and such other terms and conditions as the Board of Directors may determine. Such conditions and restrictions shall be set forth in the applicable Award Agreement and shall apply in addition to any restrictions that may apply to holders of Shares generally. In addition, Shares issued under the Plan shall be subject to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 which (for avoidance of doubt) need not be set forth in the applicable Award Agreement.</w:t>
      </w:r>
    </w:p>
    <w:p>
      <w:pPr>
        <w:spacing w:after="0" w:line="178"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Matters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68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to the award, grant, issuance, vesting, purchase, exercise, settlement or transfer of any Award, or Shares issued pursuant to any Award, granted under this Plan, the Participant shall make such arrangements as the Board of Directors may require or permit for the satisfaction of any federal, state, local or foreign withholding tax obligations that may arise in connection with such event.</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3" w:lineRule="auto"/>
        <w:tabs>
          <w:tab w:leader="none" w:pos="268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set forth in an Award Agreement, it is intended that Awards shall be exempt from Code Section 409A, and any ambiguity in the terms of an Award Agreement and the Plan shall be interpreted consistently with this intent. To the extent an Award is not exempt from Code Section 409A (any such award, a “</w:t>
      </w:r>
      <w:r>
        <w:rPr>
          <w:rFonts w:ascii="Times New Roman" w:cs="Times New Roman" w:eastAsia="Times New Roman" w:hAnsi="Times New Roman"/>
          <w:sz w:val="22"/>
          <w:szCs w:val="22"/>
          <w:b w:val="1"/>
          <w:bCs w:val="1"/>
          <w:color w:val="auto"/>
        </w:rPr>
        <w:t>409A Award</w:t>
      </w:r>
      <w:r>
        <w:rPr>
          <w:rFonts w:ascii="Times New Roman" w:cs="Times New Roman" w:eastAsia="Times New Roman" w:hAnsi="Times New Roman"/>
          <w:sz w:val="22"/>
          <w:szCs w:val="22"/>
          <w:color w:val="auto"/>
        </w:rPr>
        <w:t>”), any ambiguity in the terms of such Award and the Plan shall be interpreted in a manner that to the maximum extent permissible supports the Award’s compliance with the requirements of that statute. Notwithstanding anything to the contrary permitted under the Plan, in no event shall a modification of an Award not already subject to Code Section 409A, or any subsequent action taken with respect to such Award, be given effect if such modification or action would cause the Award to become subject to Code Section 409A unless the parties explicitly acknowledge and consent to the modification or action as one having that effect. A 409A Award shall be subject to such additional rules and requirements as specified by the Board of Directors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5"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such delay is necessary to prevent such payment from being subject to Section 409A(a)(1). In addition, if a transaction subject to Section 9(b) constitutes a payment event with respect to any 409A Award, then the transaction with respect to such award must also constitute a “change in control event” as defined in Treasury Regulation Section 1.409A-3(i)(5) to the extent required by Code Section 409A.</w:t>
      </w:r>
    </w:p>
    <w:p>
      <w:pPr>
        <w:spacing w:after="0" w:line="180" w:lineRule="exact"/>
        <w:rPr>
          <w:sz w:val="20"/>
          <w:szCs w:val="20"/>
          <w:color w:val="auto"/>
        </w:rPr>
      </w:pPr>
    </w:p>
    <w:p>
      <w:pPr>
        <w:jc w:val="both"/>
        <w:ind w:left="760" w:firstLine="1494"/>
        <w:spacing w:after="0" w:line="244" w:lineRule="auto"/>
        <w:tabs>
          <w:tab w:leader="none" w:pos="268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member of the Board of Directors shall have any liability to a Participant in the event an Award held by the Participant fails to achieve its intended characterization under applicable tax law.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 DURATION AND AMENDMENTS; STOCKHOLDER APPROVAL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192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the Plan</w:t>
      </w:r>
      <w:r>
        <w:rPr>
          <w:rFonts w:ascii="Times New Roman" w:cs="Times New Roman" w:eastAsia="Times New Roman" w:hAnsi="Times New Roman"/>
          <w:sz w:val="22"/>
          <w:szCs w:val="22"/>
          <w:color w:val="auto"/>
        </w:rPr>
        <w:t>. The Plan, as set forth herein, shall become effective on the date of its adoption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of Directors, subject to approval of the Company’s stockholders under Subsection (d) below. The Plan shall terminate automatically 10 years after the later of (i) the date when the Board of Directors adopted the Plan or (ii) the date when the Board of Directors approved the most recent increase in the number of Shares reserved under Section 4 that was also approved by the Company’s stockholders. The Plan may be terminated on any earlier date pursuant to Subsection (b) below.</w:t>
      </w:r>
    </w:p>
    <w:p>
      <w:pPr>
        <w:spacing w:after="0" w:line="176" w:lineRule="exact"/>
        <w:rPr>
          <w:rFonts w:ascii="Times New Roman" w:cs="Times New Roman" w:eastAsia="Times New Roman" w:hAnsi="Times New Roman"/>
          <w:sz w:val="22"/>
          <w:szCs w:val="22"/>
          <w:color w:val="auto"/>
        </w:rPr>
      </w:pPr>
    </w:p>
    <w:p>
      <w:pPr>
        <w:ind w:firstLine="1505"/>
        <w:spacing w:after="0" w:line="262" w:lineRule="auto"/>
        <w:tabs>
          <w:tab w:leader="none" w:pos="194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 to Amend or Terminate the Plan</w:t>
      </w:r>
      <w:r>
        <w:rPr>
          <w:rFonts w:ascii="Times New Roman" w:cs="Times New Roman" w:eastAsia="Times New Roman" w:hAnsi="Times New Roman"/>
          <w:sz w:val="22"/>
          <w:szCs w:val="22"/>
          <w:color w:val="auto"/>
        </w:rPr>
        <w:t>. Subject to Subsection (d) below, the Board of Directors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 suspend or terminate the Plan at any time and for any reason.</w:t>
      </w:r>
    </w:p>
    <w:p>
      <w:pPr>
        <w:spacing w:after="0" w:line="149"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2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 of Amendment or Termination</w:t>
      </w:r>
      <w:r>
        <w:rPr>
          <w:rFonts w:ascii="Times New Roman" w:cs="Times New Roman" w:eastAsia="Times New Roman" w:hAnsi="Times New Roman"/>
          <w:sz w:val="22"/>
          <w:szCs w:val="22"/>
          <w:color w:val="auto"/>
        </w:rPr>
        <w:t>. No Shares shall be issued or sold and no Award granted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after the termination thereof, except upon exercise or settlement of an Award granted under the Plan prior to such termination. Except as expressly provided in Section 6(k) above, the termination of the Plan, or any amendment thereof, shall not affect any Share previously issued or any Award previously granted under the Plan.</w:t>
      </w:r>
    </w:p>
    <w:p>
      <w:pPr>
        <w:spacing w:after="0" w:line="171"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4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To the extent required by applicable law, the Plan will be subject to approval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stockholders within 12 months of its adoption date. An amendment of the Plan will be subject to the approval of the Company’s stockholders only to the extent required by applicable laws, regulations or rules.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12. 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4"/>
        <w:spacing w:after="0" w:line="262" w:lineRule="auto"/>
        <w:tabs>
          <w:tab w:leader="none" w:pos="192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any award granted under the Plan, including as an Option, an award of Restricted Stock Units or the grant or sale of Shares pursuant to Section 5 of the Plan.</w:t>
      </w:r>
    </w:p>
    <w:p>
      <w:pPr>
        <w:spacing w:after="0" w:line="149" w:lineRule="exact"/>
        <w:rPr>
          <w:rFonts w:ascii="Times New Roman" w:cs="Times New Roman" w:eastAsia="Times New Roman" w:hAnsi="Times New Roman"/>
          <w:sz w:val="22"/>
          <w:szCs w:val="22"/>
          <w:color w:val="auto"/>
        </w:rPr>
      </w:pPr>
    </w:p>
    <w:p>
      <w:pPr>
        <w:ind w:firstLine="1504"/>
        <w:spacing w:after="0" w:line="262" w:lineRule="auto"/>
        <w:tabs>
          <w:tab w:leader="none" w:pos="192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means a Restricted Stock Unit Agreement, Stock Grant Agreement, Stock Option Agreement or Stock Purchase Agreement or such other agreement evidencing an Award under the Plan.</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81" w:lineRule="exact"/>
        <w:rPr>
          <w:sz w:val="20"/>
          <w:szCs w:val="20"/>
          <w:color w:val="auto"/>
        </w:rPr>
      </w:pPr>
    </w:p>
    <w:p>
      <w:pPr>
        <w:ind w:left="1940" w:hanging="435"/>
        <w:spacing w:after="0"/>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the Board of Directors of the Company, as constituted from time to time.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a committee of the Board of Directors, as described in Section 2(a).</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Conduit Tech, Inc., a Delaware corporation.</w:t>
      </w:r>
    </w:p>
    <w:p>
      <w:pPr>
        <w:spacing w:after="0" w:line="206" w:lineRule="exact"/>
        <w:rPr>
          <w:rFonts w:ascii="Times New Roman" w:cs="Times New Roman" w:eastAsia="Times New Roman" w:hAnsi="Times New Roman"/>
          <w:sz w:val="22"/>
          <w:szCs w:val="22"/>
          <w:color w:val="auto"/>
        </w:rPr>
      </w:pPr>
    </w:p>
    <w:p>
      <w:pPr>
        <w:jc w:val="both"/>
        <w:ind w:firstLine="1504"/>
        <w:spacing w:after="0" w:line="227" w:lineRule="auto"/>
        <w:tabs>
          <w:tab w:leader="none" w:pos="19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means a person, excluding Employees and Outside Directors, who performs bona fide services for the Company, a Parent</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xml:space="preserve"> or a Subsidiary as a consultant or advisor and who qualifies as a consultant or advisor under Rule 701(c)(1) of the Securities Act or under Instruction A.1.(a)(1) of Form S-8 under the Securities Act.</w:t>
      </w:r>
    </w:p>
    <w:p>
      <w:pPr>
        <w:spacing w:after="0" w:line="175" w:lineRule="exact"/>
        <w:rPr>
          <w:rFonts w:ascii="Times New Roman" w:cs="Times New Roman" w:eastAsia="Times New Roman" w:hAnsi="Times New Roman"/>
          <w:sz w:val="22"/>
          <w:szCs w:val="22"/>
          <w:color w:val="auto"/>
        </w:rPr>
      </w:pPr>
    </w:p>
    <w:p>
      <w:pPr>
        <w:ind w:firstLine="1504"/>
        <w:spacing w:after="0" w:line="262" w:lineRule="auto"/>
        <w:tabs>
          <w:tab w:leader="none" w:pos="19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 means the date of grant specified in the Award Agreement, which date shall be the later of (i) the date on which the Board of Directors resolved to grant the Award or (ii) the first day of the Participant’s Service.</w:t>
      </w:r>
    </w:p>
    <w:p>
      <w:pPr>
        <w:spacing w:after="0" w:line="149" w:lineRule="exact"/>
        <w:rPr>
          <w:rFonts w:ascii="Times New Roman" w:cs="Times New Roman" w:eastAsia="Times New Roman" w:hAnsi="Times New Roman"/>
          <w:sz w:val="22"/>
          <w:szCs w:val="22"/>
          <w:color w:val="auto"/>
        </w:rPr>
      </w:pPr>
    </w:p>
    <w:p>
      <w:pPr>
        <w:ind w:firstLine="1504"/>
        <w:spacing w:after="0" w:line="262" w:lineRule="auto"/>
        <w:tabs>
          <w:tab w:leader="none" w:pos="19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that the Optionee is unable to engage in any substantial gainful activity by reason of any medically determinable physical or mental impairment.</w:t>
      </w:r>
    </w:p>
    <w:p>
      <w:pPr>
        <w:spacing w:after="0" w:line="112" w:lineRule="exact"/>
        <w:rPr>
          <w:rFonts w:ascii="Times New Roman" w:cs="Times New Roman" w:eastAsia="Times New Roman" w:hAnsi="Times New Roman"/>
          <w:sz w:val="22"/>
          <w:szCs w:val="22"/>
          <w:color w:val="auto"/>
        </w:rPr>
      </w:pPr>
    </w:p>
    <w:p>
      <w:pPr>
        <w:ind w:left="1940" w:hanging="436"/>
        <w:spacing w:after="0"/>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individual who is a common-law employee of the Company, a Parent</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or 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17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rFonts w:ascii="Times New Roman" w:cs="Times New Roman" w:eastAsia="Times New Roman" w:hAnsi="Times New Roman"/>
          <w:sz w:val="22"/>
          <w:szCs w:val="22"/>
          <w:color w:val="auto"/>
        </w:rPr>
      </w:pPr>
    </w:p>
    <w:p>
      <w:pPr>
        <w:ind w:right="20" w:firstLine="1504"/>
        <w:spacing w:after="0" w:line="262" w:lineRule="auto"/>
        <w:tabs>
          <w:tab w:leader="none" w:pos="19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means the amount for which one Share may be purchased upon exercise of an Option, as specified by the Board of Directors in the applicable Stock Option Agreement.</w:t>
      </w:r>
    </w:p>
    <w:p>
      <w:pPr>
        <w:spacing w:after="0" w:line="149" w:lineRule="exact"/>
        <w:rPr>
          <w:rFonts w:ascii="Times New Roman" w:cs="Times New Roman" w:eastAsia="Times New Roman" w:hAnsi="Times New Roman"/>
          <w:sz w:val="22"/>
          <w:szCs w:val="22"/>
          <w:color w:val="auto"/>
        </w:rPr>
      </w:pPr>
    </w:p>
    <w:p>
      <w:pPr>
        <w:ind w:firstLine="1504"/>
        <w:spacing w:after="0" w:line="262" w:lineRule="auto"/>
        <w:tabs>
          <w:tab w:leader="none" w:pos="19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the fair market value of a Share, as determined by the Board of Directors in good faith. Such determination shall be conclusive and binding on all persons.</w:t>
      </w:r>
    </w:p>
    <w:p>
      <w:pPr>
        <w:spacing w:after="0" w:line="149" w:lineRule="exact"/>
        <w:rPr>
          <w:rFonts w:ascii="Times New Roman" w:cs="Times New Roman" w:eastAsia="Times New Roman" w:hAnsi="Times New Roman"/>
          <w:sz w:val="22"/>
          <w:szCs w:val="22"/>
          <w:color w:val="auto"/>
        </w:rPr>
      </w:pPr>
    </w:p>
    <w:p>
      <w:pPr>
        <w:ind w:left="1940" w:hanging="436"/>
        <w:spacing w:after="0"/>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means a person to whom the Board of Directors has awarded Shares under the Plan.</w:t>
      </w:r>
    </w:p>
    <w:p>
      <w:pPr>
        <w:spacing w:after="0" w:line="206" w:lineRule="exact"/>
        <w:rPr>
          <w:rFonts w:ascii="Times New Roman" w:cs="Times New Roman" w:eastAsia="Times New Roman" w:hAnsi="Times New Roman"/>
          <w:sz w:val="22"/>
          <w:szCs w:val="22"/>
          <w:color w:val="auto"/>
        </w:rPr>
      </w:pPr>
    </w:p>
    <w:p>
      <w:pPr>
        <w:jc w:val="both"/>
        <w:ind w:firstLine="1504"/>
        <w:spacing w:after="0" w:line="246" w:lineRule="auto"/>
        <w:tabs>
          <w:tab w:leader="none" w:pos="19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ISO</w:t>
      </w:r>
      <w:r>
        <w:rPr>
          <w:rFonts w:ascii="Times New Roman" w:cs="Times New Roman" w:eastAsia="Times New Roman" w:hAnsi="Times New Roman"/>
          <w:sz w:val="22"/>
          <w:szCs w:val="22"/>
          <w:color w:val="auto"/>
        </w:rPr>
        <w:t>” means an Option that qualifies as an incentive stock option as described in Code Section 422(b). Notwithstanding its designation as an ISO, an Option that does not qualify as an ISO under applicable law shall be treated for all purposes as an NSO.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9970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119" w:lineRule="exact"/>
        <w:rPr>
          <w:sz w:val="20"/>
          <w:szCs w:val="20"/>
          <w:color w:val="auto"/>
        </w:rPr>
      </w:pPr>
    </w:p>
    <w:p>
      <w:pPr>
        <w:ind w:left="120" w:hanging="112"/>
        <w:spacing w:after="0"/>
        <w:tabs>
          <w:tab w:leader="none" w:pos="12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Note that special considerations apply if the Company proposes to grant awards to consultant or advisor of a Parent company.</w:t>
      </w:r>
    </w:p>
    <w:p>
      <w:pPr>
        <w:spacing w:after="0" w:line="15"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Note that special considerations apply if the Company proposes to grant awards to an Employee of a Parent company.</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81"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(p)</w:t>
        <w:tab/>
        <w:t>“</w:t>
      </w:r>
      <w:r>
        <w:rPr>
          <w:rFonts w:ascii="Times New Roman" w:cs="Times New Roman" w:eastAsia="Times New Roman" w:hAnsi="Times New Roman"/>
          <w:sz w:val="22"/>
          <w:szCs w:val="22"/>
          <w:b w:val="1"/>
          <w:bCs w:val="1"/>
          <w:color w:val="auto"/>
        </w:rPr>
        <w:t>NSO</w:t>
      </w:r>
      <w:r>
        <w:rPr>
          <w:rFonts w:ascii="Times New Roman" w:cs="Times New Roman" w:eastAsia="Times New Roman" w:hAnsi="Times New Roman"/>
          <w:sz w:val="22"/>
          <w:szCs w:val="22"/>
          <w:color w:val="auto"/>
        </w:rPr>
        <w:t>” means an Option that does not qualify as an incentive stock option as described in Code Section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422(b) or 423(b).</w:t>
      </w:r>
    </w:p>
    <w:p>
      <w:pPr>
        <w:spacing w:after="0" w:line="178" w:lineRule="exact"/>
        <w:rPr>
          <w:sz w:val="20"/>
          <w:szCs w:val="20"/>
          <w:color w:val="auto"/>
        </w:rPr>
      </w:pPr>
    </w:p>
    <w:p>
      <w:pPr>
        <w:ind w:left="1940" w:hanging="435"/>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means an ISO or NSO granted under the Plan and entitling the holder to purchase Shares.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Optionee</w:t>
      </w:r>
      <w:r>
        <w:rPr>
          <w:rFonts w:ascii="Times New Roman" w:cs="Times New Roman" w:eastAsia="Times New Roman" w:hAnsi="Times New Roman"/>
          <w:sz w:val="22"/>
          <w:szCs w:val="22"/>
          <w:color w:val="auto"/>
        </w:rPr>
        <w:t>” means a person who holds an Option.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Outside Director</w:t>
      </w:r>
      <w:r>
        <w:rPr>
          <w:rFonts w:ascii="Times New Roman" w:cs="Times New Roman" w:eastAsia="Times New Roman" w:hAnsi="Times New Roman"/>
          <w:sz w:val="22"/>
          <w:szCs w:val="22"/>
          <w:color w:val="auto"/>
        </w:rPr>
        <w:t>” means a member of the Board of Directors who is not an Employee.</w:t>
      </w:r>
    </w:p>
    <w:p>
      <w:pPr>
        <w:spacing w:after="0" w:line="206"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2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7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the holder of an outstanding Award.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this Conduit Tech, Inc. 2022 Stock Plan.</w:t>
      </w:r>
    </w:p>
    <w:p>
      <w:pPr>
        <w:spacing w:after="0" w:line="206" w:lineRule="exact"/>
        <w:rPr>
          <w:rFonts w:ascii="Times New Roman" w:cs="Times New Roman" w:eastAsia="Times New Roman" w:hAnsi="Times New Roman"/>
          <w:sz w:val="22"/>
          <w:szCs w:val="22"/>
          <w:color w:val="auto"/>
        </w:rPr>
      </w:pPr>
    </w:p>
    <w:p>
      <w:pPr>
        <w:ind w:firstLine="1505"/>
        <w:spacing w:after="0" w:line="262" w:lineRule="auto"/>
        <w:tabs>
          <w:tab w:leader="none" w:pos="192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means the consideration for which one Share may be acquired under the Plan (other than upon exercise of an Option), as specified by the Board of Directors.</w:t>
      </w:r>
    </w:p>
    <w:p>
      <w:pPr>
        <w:spacing w:after="0" w:line="149" w:lineRule="exact"/>
        <w:rPr>
          <w:rFonts w:ascii="Times New Roman" w:cs="Times New Roman" w:eastAsia="Times New Roman" w:hAnsi="Times New Roman"/>
          <w:sz w:val="22"/>
          <w:szCs w:val="22"/>
          <w:color w:val="auto"/>
        </w:rPr>
      </w:pPr>
    </w:p>
    <w:p>
      <w:pPr>
        <w:ind w:right="20" w:firstLine="1505"/>
        <w:spacing w:after="0" w:line="262" w:lineRule="auto"/>
        <w:tabs>
          <w:tab w:leader="none" w:pos="192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Purchaser</w:t>
      </w:r>
      <w:r>
        <w:rPr>
          <w:rFonts w:ascii="Times New Roman" w:cs="Times New Roman" w:eastAsia="Times New Roman" w:hAnsi="Times New Roman"/>
          <w:sz w:val="22"/>
          <w:szCs w:val="22"/>
          <w:color w:val="auto"/>
        </w:rPr>
        <w:t>” means a person to whom the Board of Directors has offered the right to purchase Shares under the Plan (other than upon exercise of an Option).</w:t>
      </w:r>
    </w:p>
    <w:p>
      <w:pPr>
        <w:spacing w:after="0" w:line="14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Stock Unit</w:t>
      </w:r>
      <w:r>
        <w:rPr>
          <w:rFonts w:ascii="Times New Roman" w:cs="Times New Roman" w:eastAsia="Times New Roman" w:hAnsi="Times New Roman"/>
          <w:sz w:val="21"/>
          <w:szCs w:val="21"/>
          <w:color w:val="auto"/>
        </w:rPr>
        <w:t>” means a bookkeeping entry representing the equivalent of one Share, as awarded</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under the Plan.</w:t>
      </w:r>
    </w:p>
    <w:p>
      <w:pPr>
        <w:spacing w:after="0" w:line="178" w:lineRule="exact"/>
        <w:rPr>
          <w:rFonts w:ascii="Times New Roman" w:cs="Times New Roman" w:eastAsia="Times New Roman" w:hAnsi="Times New Roman"/>
          <w:sz w:val="21"/>
          <w:szCs w:val="21"/>
          <w:color w:val="auto"/>
        </w:rPr>
      </w:pPr>
    </w:p>
    <w:p>
      <w:pPr>
        <w:ind w:firstLine="1505"/>
        <w:spacing w:after="0" w:line="262" w:lineRule="auto"/>
        <w:tabs>
          <w:tab w:leader="none" w:pos="192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 Unit Agreement</w:t>
      </w:r>
      <w:r>
        <w:rPr>
          <w:rFonts w:ascii="Times New Roman" w:cs="Times New Roman" w:eastAsia="Times New Roman" w:hAnsi="Times New Roman"/>
          <w:sz w:val="22"/>
          <w:szCs w:val="22"/>
          <w:color w:val="auto"/>
        </w:rPr>
        <w:t>” means the agreement between the Company and the recipient of a Restricted Stock Unit that contains the terms, conditions and restrictions pertaining to such Restricted Stock Unit.</w:t>
      </w:r>
    </w:p>
    <w:p>
      <w:pPr>
        <w:spacing w:after="0" w:line="150" w:lineRule="exact"/>
        <w:rPr>
          <w:sz w:val="20"/>
          <w:szCs w:val="20"/>
          <w:color w:val="auto"/>
        </w:rPr>
      </w:pPr>
    </w:p>
    <w:p>
      <w:pPr>
        <w:ind w:left="1940" w:hanging="435"/>
        <w:spacing w:after="0"/>
        <w:tabs>
          <w:tab w:leader="none" w:pos="19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rFonts w:ascii="Times New Roman" w:cs="Times New Roman" w:eastAsia="Times New Roman" w:hAnsi="Times New Roman"/>
          <w:sz w:val="22"/>
          <w:szCs w:val="22"/>
          <w:color w:val="auto"/>
        </w:rPr>
      </w:pPr>
    </w:p>
    <w:p>
      <w:pPr>
        <w:jc w:val="both"/>
        <w:ind w:right="20" w:firstLine="1505"/>
        <w:spacing w:after="0" w:line="246" w:lineRule="auto"/>
        <w:tabs>
          <w:tab w:leader="none" w:pos="200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w:t>
      </w:r>
      <w:r>
        <w:rPr>
          <w:rFonts w:ascii="Times New Roman" w:cs="Times New Roman" w:eastAsia="Times New Roman" w:hAnsi="Times New Roman"/>
          <w:sz w:val="22"/>
          <w:szCs w:val="22"/>
          <w:color w:val="auto"/>
        </w:rPr>
        <w:t>” means service as an Employee, Outside Director or Consultant. In case of any dispute as to whether and when Service has terminated, the Board of Directors shall have sole discretion to determine whether such termination has occurred and the effective date of such termination.</w:t>
      </w:r>
    </w:p>
    <w:p>
      <w:pPr>
        <w:spacing w:after="0" w:line="16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means one share of Stock, as adjusted in accordance with Section 9 (if applicable).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1" w:lineRule="exact"/>
        <w:rPr>
          <w:sz w:val="20"/>
          <w:szCs w:val="20"/>
          <w:color w:val="auto"/>
        </w:rPr>
      </w:pPr>
    </w:p>
    <w:p>
      <w:pPr>
        <w:ind w:left="1940" w:hanging="435"/>
        <w:spacing w:after="0"/>
        <w:tabs>
          <w:tab w:leader="none" w:pos="19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w:t>
      </w:r>
      <w:r>
        <w:rPr>
          <w:rFonts w:ascii="Times New Roman" w:cs="Times New Roman" w:eastAsia="Times New Roman" w:hAnsi="Times New Roman"/>
          <w:sz w:val="22"/>
          <w:szCs w:val="22"/>
          <w:color w:val="auto"/>
        </w:rPr>
        <w:t>” means the Common Stock of the Company.</w:t>
      </w:r>
    </w:p>
    <w:p>
      <w:pPr>
        <w:spacing w:after="0" w:line="206" w:lineRule="exact"/>
        <w:rPr>
          <w:rFonts w:ascii="Times New Roman" w:cs="Times New Roman" w:eastAsia="Times New Roman" w:hAnsi="Times New Roman"/>
          <w:sz w:val="22"/>
          <w:szCs w:val="22"/>
          <w:color w:val="auto"/>
        </w:rPr>
      </w:pPr>
    </w:p>
    <w:p>
      <w:pPr>
        <w:ind w:firstLine="1505"/>
        <w:spacing w:after="0" w:line="262" w:lineRule="auto"/>
        <w:tabs>
          <w:tab w:leader="none" w:pos="192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Grant Agreement</w:t>
      </w:r>
      <w:r>
        <w:rPr>
          <w:rFonts w:ascii="Times New Roman" w:cs="Times New Roman" w:eastAsia="Times New Roman" w:hAnsi="Times New Roman"/>
          <w:sz w:val="22"/>
          <w:szCs w:val="22"/>
          <w:color w:val="auto"/>
        </w:rPr>
        <w:t>” means the agreement between the Company and a Grantee who is awarded Shares under the Plan that contains the terms, conditions and restrictions pertaining to the award of such Shares.</w:t>
      </w:r>
    </w:p>
    <w:p>
      <w:pPr>
        <w:spacing w:after="0" w:line="149" w:lineRule="exact"/>
        <w:rPr>
          <w:rFonts w:ascii="Times New Roman" w:cs="Times New Roman" w:eastAsia="Times New Roman" w:hAnsi="Times New Roman"/>
          <w:sz w:val="22"/>
          <w:szCs w:val="22"/>
          <w:color w:val="auto"/>
        </w:rPr>
      </w:pPr>
    </w:p>
    <w:p>
      <w:pPr>
        <w:ind w:firstLine="1505"/>
        <w:spacing w:after="0" w:line="262" w:lineRule="auto"/>
        <w:tabs>
          <w:tab w:leader="none" w:pos="189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Option Agreement</w:t>
      </w:r>
      <w:r>
        <w:rPr>
          <w:rFonts w:ascii="Times New Roman" w:cs="Times New Roman" w:eastAsia="Times New Roman" w:hAnsi="Times New Roman"/>
          <w:sz w:val="22"/>
          <w:szCs w:val="22"/>
          <w:color w:val="auto"/>
        </w:rPr>
        <w:t>” means the agreement between the Company and an Optionee that contains the terms, conditions and restrictions pertaining to the Optionee’s Option.</w:t>
      </w:r>
    </w:p>
    <w:p>
      <w:pPr>
        <w:spacing w:after="0" w:line="149" w:lineRule="exact"/>
        <w:rPr>
          <w:rFonts w:ascii="Times New Roman" w:cs="Times New Roman" w:eastAsia="Times New Roman" w:hAnsi="Times New Roman"/>
          <w:sz w:val="22"/>
          <w:szCs w:val="22"/>
          <w:color w:val="auto"/>
        </w:rPr>
      </w:pPr>
    </w:p>
    <w:p>
      <w:pPr>
        <w:ind w:firstLine="1505"/>
        <w:spacing w:after="0" w:line="262" w:lineRule="auto"/>
        <w:tabs>
          <w:tab w:leader="none" w:pos="208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Purchase Agreement</w:t>
      </w:r>
      <w:r>
        <w:rPr>
          <w:rFonts w:ascii="Times New Roman" w:cs="Times New Roman" w:eastAsia="Times New Roman" w:hAnsi="Times New Roman"/>
          <w:sz w:val="22"/>
          <w:szCs w:val="22"/>
          <w:color w:val="auto"/>
        </w:rPr>
        <w:t>” means the agreement between the Company and a Purchaser who purchases Shares under the Plan that contains the terms, conditions and restrictions pertaining to the purchase of such Shares.</w:t>
      </w:r>
    </w:p>
    <w:p>
      <w:pPr>
        <w:spacing w:after="0" w:line="149"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5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chedule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eserved for</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ssuance under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260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Date of Board</w:t>
            </w:r>
          </w:p>
        </w:tc>
        <w:tc>
          <w:tcPr>
            <w:tcW w:w="18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Date of Stockholder</w:t>
            </w:r>
          </w:p>
        </w:tc>
        <w:tc>
          <w:tcPr>
            <w:tcW w:w="180" w:type="dxa"/>
            <w:vAlign w:val="bottom"/>
          </w:tcPr>
          <w:p>
            <w:pPr>
              <w:spacing w:after="0"/>
              <w:rPr>
                <w:sz w:val="22"/>
                <w:szCs w:val="22"/>
                <w:color w:val="auto"/>
              </w:rPr>
            </w:pP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b w:val="1"/>
                <w:bCs w:val="1"/>
                <w:color w:val="auto"/>
              </w:rPr>
              <w:t>Number of</w:t>
            </w:r>
          </w:p>
        </w:tc>
        <w:tc>
          <w:tcPr>
            <w:tcW w:w="180" w:type="dxa"/>
            <w:vAlign w:val="bottom"/>
          </w:tcPr>
          <w:p>
            <w:pPr>
              <w:spacing w:after="0"/>
              <w:rPr>
                <w:sz w:val="22"/>
                <w:szCs w:val="22"/>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Cumulative Number</w:t>
            </w:r>
          </w:p>
        </w:tc>
      </w:tr>
      <w:tr>
        <w:trPr>
          <w:trHeight w:val="274"/>
        </w:trPr>
        <w:tc>
          <w:tcPr>
            <w:tcW w:w="26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22"/>
                <w:szCs w:val="22"/>
                <w:b w:val="1"/>
                <w:bCs w:val="1"/>
                <w:color w:val="auto"/>
              </w:rPr>
              <w:t>Approval</w:t>
            </w:r>
          </w:p>
        </w:tc>
        <w:tc>
          <w:tcPr>
            <w:tcW w:w="180" w:type="dxa"/>
            <w:vAlign w:val="bottom"/>
          </w:tcPr>
          <w:p>
            <w:pPr>
              <w:spacing w:after="0"/>
              <w:rPr>
                <w:sz w:val="23"/>
                <w:szCs w:val="23"/>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Approval</w:t>
            </w:r>
          </w:p>
        </w:tc>
        <w:tc>
          <w:tcPr>
            <w:tcW w:w="180" w:type="dxa"/>
            <w:vAlign w:val="bottom"/>
          </w:tcPr>
          <w:p>
            <w:pPr>
              <w:spacing w:after="0"/>
              <w:rPr>
                <w:sz w:val="23"/>
                <w:szCs w:val="23"/>
                <w:color w:val="auto"/>
              </w:rPr>
            </w:pPr>
          </w:p>
        </w:tc>
        <w:tc>
          <w:tcPr>
            <w:tcW w:w="25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2"/>
                <w:szCs w:val="22"/>
                <w:b w:val="1"/>
                <w:bCs w:val="1"/>
                <w:color w:val="auto"/>
              </w:rPr>
              <w:t>Shares Added</w:t>
            </w:r>
          </w:p>
        </w:tc>
        <w:tc>
          <w:tcPr>
            <w:tcW w:w="180" w:type="dxa"/>
            <w:vAlign w:val="bottom"/>
          </w:tcPr>
          <w:p>
            <w:pPr>
              <w:spacing w:after="0"/>
              <w:rPr>
                <w:sz w:val="23"/>
                <w:szCs w:val="23"/>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of Shares</w:t>
            </w:r>
          </w:p>
        </w:tc>
      </w:tr>
      <w:tr>
        <w:trPr>
          <w:trHeight w:val="465"/>
        </w:trPr>
        <w:tc>
          <w:tcPr>
            <w:tcW w:w="26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March 30, 2022</w:t>
            </w:r>
          </w:p>
        </w:tc>
        <w:tc>
          <w:tcPr>
            <w:tcW w:w="180" w:type="dxa"/>
            <w:vAlign w:val="bottom"/>
          </w:tcPr>
          <w:p>
            <w:pPr>
              <w:spacing w:after="0"/>
              <w:rPr>
                <w:sz w:val="24"/>
                <w:szCs w:val="24"/>
                <w:color w:val="auto"/>
              </w:rPr>
            </w:pPr>
          </w:p>
        </w:tc>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March 30, 2022</w:t>
            </w:r>
          </w:p>
        </w:tc>
        <w:tc>
          <w:tcPr>
            <w:tcW w:w="180" w:type="dxa"/>
            <w:vAlign w:val="bottom"/>
          </w:tcPr>
          <w:p>
            <w:pPr>
              <w:spacing w:after="0"/>
              <w:rPr>
                <w:sz w:val="24"/>
                <w:szCs w:val="24"/>
                <w:color w:val="auto"/>
              </w:rPr>
            </w:pPr>
          </w:p>
        </w:tc>
        <w:tc>
          <w:tcPr>
            <w:tcW w:w="25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Not Applicable</w:t>
            </w:r>
          </w:p>
        </w:tc>
        <w:tc>
          <w:tcPr>
            <w:tcW w:w="276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555,556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ummary of</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odifications and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mendments to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3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following is a summary of material modifications made to the Plan (including any material deviations from the Gunderson Dettmer precedent form used to create the Plan):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28" w:name="page29"/>
    <w:bookmarkEnd w:id="28"/>
    <w:p>
      <w:pPr>
        <w:spacing w:after="0" w:line="21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7"/>
          <w:szCs w:val="17"/>
          <w:b w:val="1"/>
          <w:bCs w:val="1"/>
          <w:color w:val="auto"/>
        </w:rPr>
        <w:t>Exhibit 107.1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ServiceTitan,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900" w:type="dxa"/>
            <w:vAlign w:val="bottom"/>
            <w:tcBorders>
              <w:top w:val="single" w:sz="8" w:color="auto"/>
              <w:left w:val="single" w:sz="8" w:color="auto"/>
              <w:right w:val="single" w:sz="8" w:color="auto"/>
            </w:tcBorders>
          </w:tcPr>
          <w:p>
            <w:pPr>
              <w:spacing w:after="0"/>
              <w:rPr>
                <w:sz w:val="19"/>
                <w:szCs w:val="19"/>
                <w:color w:val="auto"/>
              </w:rPr>
            </w:pPr>
          </w:p>
        </w:tc>
        <w:tc>
          <w:tcPr>
            <w:tcW w:w="1900" w:type="dxa"/>
            <w:vAlign w:val="bottom"/>
            <w:tcBorders>
              <w:top w:val="single" w:sz="8" w:color="auto"/>
              <w:right w:val="single" w:sz="8" w:color="auto"/>
            </w:tcBorders>
          </w:tcPr>
          <w:p>
            <w:pPr>
              <w:spacing w:after="0"/>
              <w:rPr>
                <w:sz w:val="19"/>
                <w:szCs w:val="19"/>
                <w:color w:val="auto"/>
              </w:rPr>
            </w:pPr>
          </w:p>
        </w:tc>
        <w:tc>
          <w:tcPr>
            <w:tcW w:w="240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Proposed</w:t>
            </w:r>
          </w:p>
        </w:tc>
        <w:tc>
          <w:tcPr>
            <w:tcW w:w="1340" w:type="dxa"/>
            <w:vAlign w:val="bottom"/>
            <w:tcBorders>
              <w:top w:val="single" w:sz="8" w:color="auto"/>
              <w:right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3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5"/>
        </w:trPr>
        <w:tc>
          <w:tcPr>
            <w:tcW w:w="90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12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3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r>
      <w:tr>
        <w:trPr>
          <w:trHeight w:val="189"/>
        </w:trPr>
        <w:tc>
          <w:tcPr>
            <w:tcW w:w="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90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Calculation</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3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Registration</w:t>
            </w:r>
          </w:p>
        </w:tc>
      </w:tr>
      <w:tr>
        <w:trPr>
          <w:trHeight w:val="256"/>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 Class Title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Registered</w:t>
            </w:r>
            <w:r>
              <w:rPr>
                <w:rFonts w:ascii="Times New Roman" w:cs="Times New Roman" w:eastAsia="Times New Roman" w:hAnsi="Times New Roman"/>
                <w:sz w:val="21"/>
                <w:szCs w:val="21"/>
                <w:b w:val="1"/>
                <w:bCs w:val="1"/>
                <w:color w:val="auto"/>
                <w:w w:val="96"/>
                <w:vertAlign w:val="superscript"/>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 Price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 Rate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r>
      <w:tr>
        <w:trPr>
          <w:trHeight w:val="250"/>
        </w:trPr>
        <w:tc>
          <w:tcPr>
            <w:tcW w:w="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Equity</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Rule 457(c) and Rule 457(h)</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40,310</w:t>
            </w:r>
            <w:r>
              <w:rPr>
                <w:rFonts w:ascii="Times New Roman" w:cs="Times New Roman" w:eastAsia="Times New Roman" w:hAnsi="Times New Roman"/>
                <w:sz w:val="21"/>
                <w:szCs w:val="21"/>
                <w:color w:val="auto"/>
                <w:w w:val="94"/>
                <w:vertAlign w:val="superscript"/>
              </w:rPr>
              <w:t>(2)</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$94.24</w:t>
            </w:r>
            <w:r>
              <w:rPr>
                <w:rFonts w:ascii="Times New Roman" w:cs="Times New Roman" w:eastAsia="Times New Roman" w:hAnsi="Times New Roman"/>
                <w:sz w:val="21"/>
                <w:szCs w:val="21"/>
                <w:color w:val="auto"/>
                <w:w w:val="96"/>
                <w:vertAlign w:val="superscript"/>
              </w:rPr>
              <w:t>(3)</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$3,798,814.40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$138.10</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$524.62</w:t>
            </w:r>
          </w:p>
        </w:tc>
      </w:tr>
      <w:tr>
        <w:trPr>
          <w:trHeight w:val="149"/>
        </w:trPr>
        <w:tc>
          <w:tcPr>
            <w:tcW w:w="900" w:type="dxa"/>
            <w:vAlign w:val="bottom"/>
            <w:tcBorders>
              <w:left w:val="single" w:sz="8" w:color="auto"/>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per $1,000,000</w:t>
            </w:r>
          </w:p>
        </w:tc>
        <w:tc>
          <w:tcPr>
            <w:tcW w:w="1120" w:type="dxa"/>
            <w:vAlign w:val="bottom"/>
            <w:tcBorders>
              <w:bottom w:val="single" w:sz="8" w:color="auto"/>
              <w:right w:val="single" w:sz="8" w:color="auto"/>
            </w:tcBorders>
          </w:tcPr>
          <w:p>
            <w:pPr>
              <w:spacing w:after="0"/>
              <w:rPr>
                <w:sz w:val="12"/>
                <w:szCs w:val="12"/>
                <w:color w:val="auto"/>
              </w:rPr>
            </w:pPr>
          </w:p>
        </w:tc>
      </w:tr>
      <w:tr>
        <w:trPr>
          <w:trHeight w:val="166"/>
        </w:trPr>
        <w:tc>
          <w:tcPr>
            <w:tcW w:w="900" w:type="dxa"/>
            <w:vAlign w:val="bottom"/>
            <w:tcBorders>
              <w:left w:val="single" w:sz="8" w:color="auto"/>
            </w:tcBorders>
          </w:tcPr>
          <w:p>
            <w:pPr>
              <w:spacing w:after="0"/>
              <w:rPr>
                <w:sz w:val="14"/>
                <w:szCs w:val="14"/>
                <w:color w:val="auto"/>
              </w:rPr>
            </w:pPr>
          </w:p>
        </w:tc>
        <w:tc>
          <w:tcPr>
            <w:tcW w:w="1900" w:type="dxa"/>
            <w:vAlign w:val="bottom"/>
          </w:tcPr>
          <w:p>
            <w:pPr>
              <w:spacing w:after="0"/>
              <w:rPr>
                <w:sz w:val="14"/>
                <w:szCs w:val="14"/>
                <w:color w:val="auto"/>
              </w:rPr>
            </w:pPr>
          </w:p>
        </w:tc>
        <w:tc>
          <w:tcPr>
            <w:tcW w:w="2400" w:type="dxa"/>
            <w:vAlign w:val="bottom"/>
          </w:tcPr>
          <w:p>
            <w:pPr>
              <w:jc w:val="center"/>
              <w:ind w:right="439"/>
              <w:spacing w:after="0" w:line="166" w:lineRule="exact"/>
              <w:rPr>
                <w:sz w:val="20"/>
                <w:szCs w:val="20"/>
                <w:color w:val="auto"/>
              </w:rPr>
            </w:pPr>
            <w:r>
              <w:rPr>
                <w:rFonts w:ascii="Times New Roman" w:cs="Times New Roman" w:eastAsia="Times New Roman" w:hAnsi="Times New Roman"/>
                <w:sz w:val="16"/>
                <w:szCs w:val="16"/>
                <w:b w:val="1"/>
                <w:bCs w:val="1"/>
                <w:color w:val="auto"/>
              </w:rPr>
              <w:t>Total Offering Amounts</w:t>
            </w:r>
          </w:p>
        </w:tc>
        <w:tc>
          <w:tcPr>
            <w:tcW w:w="126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w w:val="99"/>
              </w:rPr>
              <w:t>$3,798,814.40</w:t>
            </w:r>
          </w:p>
        </w:tc>
        <w:tc>
          <w:tcPr>
            <w:tcW w:w="13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w w:val="99"/>
              </w:rPr>
              <w:t>$524.62</w:t>
            </w:r>
          </w:p>
        </w:tc>
      </w:tr>
      <w:tr>
        <w:trPr>
          <w:trHeight w:val="246"/>
        </w:trPr>
        <w:tc>
          <w:tcPr>
            <w:tcW w:w="900" w:type="dxa"/>
            <w:vAlign w:val="bottom"/>
            <w:tcBorders>
              <w:left w:val="single" w:sz="8" w:color="auto"/>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w w:val="97"/>
              </w:rPr>
              <w:t>Total Fee Offsets</w:t>
            </w:r>
            <w:r>
              <w:rPr>
                <w:rFonts w:ascii="Times New Roman" w:cs="Times New Roman" w:eastAsia="Times New Roman" w:hAnsi="Times New Roman"/>
                <w:sz w:val="21"/>
                <w:szCs w:val="21"/>
                <w:b w:val="1"/>
                <w:bCs w:val="1"/>
                <w:color w:val="auto"/>
                <w:w w:val="97"/>
                <w:vertAlign w:val="superscript"/>
              </w:rPr>
              <w:t>(4)</w:t>
            </w:r>
          </w:p>
        </w:tc>
        <w:tc>
          <w:tcPr>
            <w:tcW w:w="126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w:t>
            </w:r>
          </w:p>
        </w:tc>
      </w:tr>
      <w:tr>
        <w:trPr>
          <w:trHeight w:val="196"/>
        </w:trPr>
        <w:tc>
          <w:tcPr>
            <w:tcW w:w="900" w:type="dxa"/>
            <w:vAlign w:val="bottom"/>
            <w:tcBorders>
              <w:left w:val="single" w:sz="8" w:color="auto"/>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126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$524.62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firstLine="8"/>
        <w:spacing w:after="0" w:line="262" w:lineRule="auto"/>
        <w:tabs>
          <w:tab w:leader="none" w:pos="32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this registration statement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shall also cover any additional shares of Class A common stock, par value $0.001 per share of the Registrant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that become issuable under the Conduit Tech, Inc. 2022 Stock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by reason of any stock dividend, stock split, recapitalization, or other similar transaction effected without receipt of consideration that results in an increase to the number of outstanding shares of Common Stock.</w:t>
      </w:r>
    </w:p>
    <w:p>
      <w:pPr>
        <w:ind w:left="340" w:hanging="332"/>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an aggregate of </w:t>
      </w:r>
      <w:r>
        <w:rPr>
          <w:rFonts w:ascii="Times New Roman" w:cs="Times New Roman" w:eastAsia="Times New Roman" w:hAnsi="Times New Roman"/>
          <w:sz w:val="17"/>
          <w:szCs w:val="17"/>
          <w:color w:val="auto"/>
        </w:rPr>
        <w:t>40,310</w:t>
      </w:r>
      <w:r>
        <w:rPr>
          <w:rFonts w:ascii="Times New Roman" w:cs="Times New Roman" w:eastAsia="Times New Roman" w:hAnsi="Times New Roman"/>
          <w:sz w:val="16"/>
          <w:szCs w:val="16"/>
          <w:color w:val="auto"/>
        </w:rPr>
        <w:t xml:space="preserve"> additional shares of the Common Stock underlying outstanding restricted stock units under the Plan and assumed by the Registrant.</w:t>
      </w:r>
    </w:p>
    <w:p>
      <w:pPr>
        <w:spacing w:after="0" w:line="26" w:lineRule="exact"/>
        <w:rPr>
          <w:rFonts w:ascii="Times New Roman" w:cs="Times New Roman" w:eastAsia="Times New Roman" w:hAnsi="Times New Roman"/>
          <w:sz w:val="16"/>
          <w:szCs w:val="16"/>
          <w:color w:val="auto"/>
        </w:rPr>
      </w:pPr>
    </w:p>
    <w:p>
      <w:pPr>
        <w:ind w:firstLine="8"/>
        <w:spacing w:after="0" w:line="260" w:lineRule="auto"/>
        <w:tabs>
          <w:tab w:leader="none" w:pos="36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purposes of calculating the registration fee pursuant to Rules 457(c) and 457(h) of the Securities Act, and based upon the average of the high and low prices of the Common Stock as reported on the Nasdaq Global Select Market on October 16, 2025.</w:t>
      </w:r>
    </w:p>
    <w:p>
      <w:pPr>
        <w:ind w:left="340" w:hanging="332"/>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1426210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lowerRoman"/>
      <w:start w:val="2"/>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bullet"/>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2"/>
      <w:numFmt w:val="bullet"/>
      <w:start w:val="1"/>
    </w:lvl>
  </w:abstractNum>
  <w:abstractNum w:abstractNumId="11">
    <w:nsid w:val="8EDBDAB"/>
    <w:multiLevelType w:val="hybridMultilevel"/>
    <w:lvl w:ilvl="0">
      <w:lvlJc w:val="left"/>
      <w:lvlText w:val="(%1)"/>
      <w:numFmt w:val="lowerLetter"/>
      <w:start w:val="3"/>
    </w:lvl>
  </w:abstractNum>
  <w:abstractNum w:abstractNumId="12">
    <w:nsid w:val="79838CB2"/>
    <w:multiLevelType w:val="hybridMultilevel"/>
    <w:lvl w:ilvl="0">
      <w:lvlJc w:val="left"/>
      <w:lvlText w:val="(%1)"/>
      <w:numFmt w:val="lowerLetter"/>
      <w:start w:val="1"/>
    </w:lvl>
    <w:lvl w:ilvl="1">
      <w:lvlJc w:val="left"/>
      <w:lvlText w:val="(%2)"/>
      <w:numFmt w:val="lowerRoman"/>
      <w:start w:val="1"/>
    </w:lvl>
  </w:abstractNum>
  <w:abstractNum w:abstractNumId="13">
    <w:nsid w:val="4353D0CD"/>
    <w:multiLevelType w:val="hybridMultilevel"/>
    <w:lvl w:ilvl="0">
      <w:lvlJc w:val="left"/>
      <w:lvlText w:val="(%1)"/>
      <w:numFmt w:val="lowerLetter"/>
      <w:start w:val="5"/>
    </w:lvl>
    <w:lvl w:ilvl="1">
      <w:lvlJc w:val="left"/>
      <w:lvlText w:val="(%2)"/>
      <w:numFmt w:val="lowerRoman"/>
      <w:start w:val="1"/>
    </w:lvl>
  </w:abstractNum>
  <w:abstractNum w:abstractNumId="14">
    <w:nsid w:val="B03E0C6"/>
    <w:multiLevelType w:val="hybridMultilevel"/>
    <w:lvl w:ilvl="0">
      <w:lvlJc w:val="left"/>
      <w:lvlText w:val="(%1)"/>
      <w:numFmt w:val="lowerLetter"/>
      <w:start w:val="7"/>
    </w:lvl>
    <w:lvl w:ilvl="1">
      <w:lvlJc w:val="left"/>
      <w:lvlText w:val="(%2)"/>
      <w:numFmt w:val="lowerRoman"/>
      <w:start w:val="1"/>
    </w:lvl>
  </w:abstractNum>
  <w:abstractNum w:abstractNumId="15">
    <w:nsid w:val="189A769B"/>
    <w:multiLevelType w:val="hybridMultilevel"/>
    <w:lvl w:ilvl="0">
      <w:lvlJc w:val="left"/>
      <w:lvlText w:val="(%1)"/>
      <w:numFmt w:val="lowerLetter"/>
      <w:start w:val="9"/>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8"/>
    </w:lvl>
  </w:abstractNum>
  <w:abstractNum w:abstractNumId="18">
    <w:nsid w:val="2CA88611"/>
    <w:multiLevelType w:val="hybridMultilevel"/>
    <w:lvl w:ilvl="0">
      <w:lvlJc w:val="left"/>
      <w:lvlText w:val="%1"/>
      <w:numFmt w:val="lowerLetter"/>
      <w:start w:val="1"/>
    </w:lvl>
    <w:lvl w:ilvl="1">
      <w:lvlJc w:val="left"/>
      <w:lvlText w:val="(%2)"/>
      <w:numFmt w:val="lowerLetter"/>
      <w:start w:val="1"/>
    </w:lvl>
  </w:abstractNum>
  <w:abstractNum w:abstractNumId="19">
    <w:nsid w:val="836C40E"/>
    <w:multiLevelType w:val="hybridMultilevel"/>
    <w:lvl w:ilvl="0">
      <w:lvlJc w:val="left"/>
      <w:lvlText w:val="(%1)"/>
      <w:numFmt w:val="lowerLetter"/>
      <w:start w:val="7"/>
    </w:lvl>
    <w:lvl w:ilvl="1">
      <w:lvlJc w:val="left"/>
      <w:lvlText w:val="(%2)"/>
      <w:numFmt w:val="lowerLetter"/>
      <w:start w:val="2"/>
    </w:lvl>
  </w:abstractNum>
  <w:abstractNum w:abstractNumId="20">
    <w:nsid w:val="2901D82"/>
    <w:multiLevelType w:val="hybridMultilevel"/>
    <w:lvl w:ilvl="0">
      <w:lvlJc w:val="left"/>
      <w:lvlText w:val="(%1)"/>
      <w:numFmt w:val="lowerLetter"/>
      <w:start w:val="5"/>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3">
    <w:nsid w:val="1E7FF52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4">
    <w:nsid w:val="7C3DBD3D"/>
    <w:multiLevelType w:val="hybridMultilevel"/>
    <w:lvl w:ilvl="0">
      <w:lvlJc w:val="left"/>
      <w:lvlText w:val="(%1)"/>
      <w:numFmt w:val="lowerRoman"/>
      <w:start w:val="4"/>
    </w:lvl>
  </w:abstractNum>
  <w:abstractNum w:abstractNumId="25">
    <w:nsid w:val="737B8DDC"/>
    <w:multiLevelType w:val="hybridMultilevel"/>
    <w:lvl w:ilvl="0">
      <w:lvlJc w:val="left"/>
      <w:lvlText w:val="(%1)"/>
      <w:numFmt w:val="lowerLetter"/>
      <w:start w:val="3"/>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3"/>
    </w:lvl>
    <w:lvl w:ilvl="1">
      <w:lvlJc w:val="left"/>
      <w:lvlText w:val="(%2)"/>
      <w:numFmt w:val="lowerRoman"/>
      <w:start w:val="1"/>
    </w:lvl>
  </w:abstractNum>
  <w:abstractNum w:abstractNumId="28">
    <w:nsid w:val="4516DDE9"/>
    <w:multiLevelType w:val="hybridMultilevel"/>
    <w:lvl w:ilvl="0">
      <w:lvlJc w:val="left"/>
      <w:lvlText w:val="(%1)"/>
      <w:numFmt w:val="lowerRoman"/>
      <w:start w:val="3"/>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3"/>
    </w:lvl>
  </w:abstractNum>
  <w:abstractNum w:abstractNumId="32">
    <w:nsid w:val="5577F8E1"/>
    <w:multiLevelType w:val="hybridMultilevel"/>
    <w:lvl w:ilvl="0">
      <w:lvlJc w:val="left"/>
      <w:lvlText w:val="3"/>
      <w:numFmt w:val="bullet"/>
      <w:start w:val="1"/>
    </w:lvl>
  </w:abstractNum>
  <w:abstractNum w:abstractNumId="33">
    <w:nsid w:val="440BADFC"/>
    <w:multiLevelType w:val="hybridMultilevel"/>
    <w:lvl w:ilvl="0">
      <w:lvlJc w:val="left"/>
      <w:lvlText w:val="(%1)"/>
      <w:numFmt w:val="lowerLetter"/>
      <w:start w:val="17"/>
    </w:lvl>
  </w:abstractNum>
  <w:abstractNum w:abstractNumId="34">
    <w:nsid w:val="5072367"/>
    <w:multiLevelType w:val="hybridMultilevel"/>
    <w:lvl w:ilvl="0">
      <w:lvlJc w:val="left"/>
      <w:lvlText w:val="(%1)"/>
      <w:numFmt w:val="lowerLetter"/>
      <w:start w:val="27"/>
    </w:lvl>
  </w:abstractNum>
  <w:abstractNum w:abstractNumId="35">
    <w:nsid w:val="3804823E"/>
    <w:multiLevelType w:val="hybridMultilevel"/>
    <w:lvl w:ilvl="0">
      <w:lvlJc w:val="left"/>
      <w:lvlText w:val="(%1)"/>
      <w:numFmt w:val="lowerLetter"/>
      <w:start w:val="30"/>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jpeg"/><Relationship Id="rId47" Type="http://schemas.openxmlformats.org/officeDocument/2006/relationships/image" Target="media/image32.png"/><Relationship Id="rId48" Type="http://schemas.openxmlformats.org/officeDocument/2006/relationships/image" Target="media/image33.jpe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18" Type="http://schemas.openxmlformats.org/officeDocument/2006/relationships/hyperlink" Target="https://www.sec.gov/Archives/edgar/data/1638826/000095017025048834/ttan-20250131.htm" TargetMode="External"/><Relationship Id="rId19" Type="http://schemas.openxmlformats.org/officeDocument/2006/relationships/hyperlink" Target="https://www.sec.gov/Archives/edgar/data/1638826/000095017025085509/ttan-20250430.htm" TargetMode="External"/><Relationship Id="rId20" Type="http://schemas.openxmlformats.org/officeDocument/2006/relationships/hyperlink" Target="https://www.sec.gov/Archives/edgar/data/1638826/000095017025114005/ttan-20250731.htm" TargetMode="External"/><Relationship Id="rId21" Type="http://schemas.openxmlformats.org/officeDocument/2006/relationships/hyperlink" Target="https://www.sec.gov/Archives/edgar/data/1638826/000095017025088964/ttan-20250618.htm" TargetMode="External"/><Relationship Id="rId22" Type="http://schemas.openxmlformats.org/officeDocument/2006/relationships/hyperlink" Target="https://www.sec.gov/Archives/edgar/data/1638826/000119312524273531/d657322d8a12b.htm" TargetMode="External"/><Relationship Id="rId25" Type="http://schemas.openxmlformats.org/officeDocument/2006/relationships/hyperlink" Target="https://www.sec.gov/Archives/edgar/data/1638826/000119312524278469/d918320dex31.htm" TargetMode="External"/><Relationship Id="rId26" Type="http://schemas.openxmlformats.org/officeDocument/2006/relationships/hyperlink" Target="https://www.sec.gov/Archives/edgar/data/1638826/000119312524278469/d918320dex32.htm" TargetMode="External"/><Relationship Id="rId27" Type="http://schemas.openxmlformats.org/officeDocument/2006/relationships/hyperlink" Target="https://www.sec.gov/Archives/edgar/data/1638826/000119312524260611/d57729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2025-10-21T15:55:06Z</dcterms:created>
  <dcterms:modified xsi:type="dcterms:W3CDTF">2025-10-21T15:55:06Z</dcterms:modified>
</cp:coreProperties>
</file>