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ServiceTitan,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001-42434</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26-0331862</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800 N. Brand Blvd.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Glendale,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91203</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(855) 899-0970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TTAN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June 4, 2026, ServiceTitan, Inc. (the “Company”) issued a press release announcing its financial results for the fiscal first quarter ended April 30, 2026. In the press release, the Company also announced that it would hold a conference call to discuss these financial results on June 4, 2026 at 2:00 p.m. Pacific Time (5:00 p.m. Eastern Time). A copy of the press release is furnished hereto as Exhibit 99.1 to this Current Report on Form 8-K and is incorporated herein by reference.</w:t>
      </w:r>
    </w:p>
    <w:p>
      <w:pPr>
        <w:spacing w:after="0" w:line="28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 makes reference to non-GAAP financial information in the press release. A reconciliation of these non-GAAP financial measures to their nearest GAAP equivalents is provided in the press release.</w:t>
      </w:r>
    </w:p>
    <w:p>
      <w:pPr>
        <w:spacing w:after="0" w:line="27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including Exhibit 99.1 furnished hereto, shall not be deemed to be “filed” for purposes of Section 18 of the Securities Exchange Act of 1934, as amended (the “Exchange Act”), or otherwise subject to the liabilities of that section. The information contained in this Item 2.02 and in the accompanying Exhibit 99.1 shall not be incorporated by reference into any other filing under the Exchange Act or under the Securities Act of 1933, as amended, whether made before or after the date hereof, regardless of any general incorporation language in such filing, except as shall be expressly set forth by specific reference in such filing.</w:t>
      </w:r>
    </w:p>
    <w:p>
      <w:pPr>
        <w:spacing w:after="0" w:line="2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being filed herewith:</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76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2"/>
                <w:szCs w:val="22"/>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June 4, 2026.</w:t>
            </w: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80" w:type="dxa"/>
            <w:vAlign w:val="bottom"/>
            <w:tcBorders>
              <w:right w:val="single" w:sz="8" w:color="0000EE"/>
            </w:tcBorders>
            <w:shd w:val="clear" w:color="auto" w:fill="0000FF"/>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SERVICETITAN, INC.</w:t>
      </w:r>
    </w:p>
    <w:p>
      <w:pPr>
        <w:spacing w:after="0" w:line="225" w:lineRule="exact"/>
        <w:rPr>
          <w:sz w:val="20"/>
          <w:szCs w:val="20"/>
          <w:color w:val="auto"/>
        </w:rPr>
      </w:pPr>
    </w:p>
    <w:p>
      <w:pPr>
        <w:spacing w:after="0"/>
        <w:tabs>
          <w:tab w:leader="none" w:pos="5180" w:val="left"/>
          <w:tab w:leader="none" w:pos="560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Dave Sherry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197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Dave Sherry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65" w:right="539" w:bottom="1440" w:gutter="0" w:footer="0" w:header="0"/>
        </w:sectPr>
      </w:pPr>
    </w:p>
    <w:bookmarkStart w:id="3" w:name="page4"/>
    <w:bookmarkEnd w:id="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5934710</wp:posOffset>
            </wp:positionH>
            <wp:positionV relativeFrom="page">
              <wp:posOffset>637540</wp:posOffset>
            </wp:positionV>
            <wp:extent cx="140589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003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ServiceTitan Announces Fiscal First Quarter Financial Results</w:t>
      </w:r>
    </w:p>
    <w:p>
      <w:pPr>
        <w:spacing w:after="0" w:line="23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LOS ANGELES – June 4, 2026 – </w:t>
      </w:r>
      <w:r>
        <w:rPr>
          <w:rFonts w:ascii="Times New Roman" w:cs="Times New Roman" w:eastAsia="Times New Roman" w:hAnsi="Times New Roman"/>
          <w:sz w:val="20"/>
          <w:szCs w:val="20"/>
          <w:color w:val="auto"/>
        </w:rPr>
        <w:t>ServiceTitan (NASDAQ: TTAN), the software platform that powers the trades, today announced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results for the fiscal first quarter ended April 30, 2026.</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customers are off to a strong start in fiscal year 2027,” said Ara Mahdessian, Co-Founder and CEO. “We continue to execute on our core multi-year growth vectors, we’re delivering the Agentic Operating System to the Trades, and we’re improving our organizational velocity.”</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am excited about our progress so far this year,” said Vahe Kuzoyan, Co-Founder and President, “During Q1, we more than doubled the number of locations on Max; we're optimizing our internal processes, automating customer onboarding and expect to again double the number of locations on Max during Q2.”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First Quarter 2027 Financial and Operational Highlights: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80" w:type="dxa"/>
            <w:vAlign w:val="bottom"/>
          </w:tcPr>
          <w:p>
            <w:pPr>
              <w:spacing w:after="0"/>
              <w:rPr>
                <w:sz w:val="22"/>
                <w:szCs w:val="22"/>
                <w:color w:val="auto"/>
              </w:rPr>
            </w:pPr>
          </w:p>
        </w:tc>
        <w:tc>
          <w:tcPr>
            <w:tcW w:w="2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20"/>
                <w:szCs w:val="20"/>
                <w:b w:val="1"/>
                <w:bCs w:val="1"/>
                <w:color w:val="auto"/>
              </w:rPr>
              <w:t>Fiscal First Quarter 2027</w:t>
            </w:r>
          </w:p>
        </w:tc>
        <w:tc>
          <w:tcPr>
            <w:tcW w:w="200" w:type="dxa"/>
            <w:vAlign w:val="bottom"/>
          </w:tcPr>
          <w:p>
            <w:pPr>
              <w:spacing w:after="0"/>
              <w:rPr>
                <w:sz w:val="22"/>
                <w:szCs w:val="22"/>
                <w:color w:val="auto"/>
              </w:rPr>
            </w:pPr>
          </w:p>
        </w:tc>
        <w:tc>
          <w:tcPr>
            <w:tcW w:w="2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Fiscal First Quarter 2026</w:t>
            </w:r>
          </w:p>
        </w:tc>
        <w:tc>
          <w:tcPr>
            <w:tcW w:w="0" w:type="dxa"/>
            <w:vAlign w:val="bottom"/>
          </w:tcPr>
          <w:p>
            <w:pPr>
              <w:spacing w:after="0"/>
              <w:rPr>
                <w:sz w:val="1"/>
                <w:szCs w:val="1"/>
                <w:color w:val="auto"/>
              </w:rPr>
            </w:pPr>
          </w:p>
        </w:tc>
      </w:tr>
      <w:tr>
        <w:trPr>
          <w:trHeight w:val="200"/>
        </w:trPr>
        <w:tc>
          <w:tcPr>
            <w:tcW w:w="5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Gross transaction volume (“GTV”) (</w:t>
            </w:r>
            <w:r>
              <w:rPr>
                <w:rFonts w:ascii="Times New Roman" w:cs="Times New Roman" w:eastAsia="Times New Roman" w:hAnsi="Times New Roman"/>
                <w:sz w:val="20"/>
                <w:szCs w:val="20"/>
                <w:i w:val="1"/>
                <w:iCs w:val="1"/>
                <w:color w:val="auto"/>
              </w:rPr>
              <w:t>in billions</w:t>
            </w:r>
            <w:r>
              <w:rPr>
                <w:rFonts w:ascii="Times New Roman" w:cs="Times New Roman" w:eastAsia="Times New Roman" w:hAnsi="Times New Roman"/>
                <w:sz w:val="20"/>
                <w:szCs w:val="20"/>
                <w:color w:val="auto"/>
              </w:rPr>
              <w:t>)</w:t>
            </w:r>
            <w:r>
              <w:rPr>
                <w:rFonts w:ascii="Times New Roman" w:cs="Times New Roman" w:eastAsia="Times New Roman" w:hAnsi="Times New Roman"/>
                <w:sz w:val="26"/>
                <w:szCs w:val="26"/>
                <w:color w:val="auto"/>
                <w:vertAlign w:val="superscript"/>
              </w:rPr>
              <w:t>(1)</w:t>
            </w:r>
          </w:p>
        </w:tc>
        <w:tc>
          <w:tcPr>
            <w:tcW w:w="6160" w:type="dxa"/>
            <w:vAlign w:val="bottom"/>
            <w:gridSpan w:val="3"/>
          </w:tcPr>
          <w:p>
            <w:pPr>
              <w:jc w:val="right"/>
              <w:ind w:right="1621"/>
              <w:spacing w:after="0"/>
              <w:rPr>
                <w:sz w:val="20"/>
                <w:szCs w:val="20"/>
                <w:color w:val="auto"/>
              </w:rPr>
            </w:pPr>
            <w:r>
              <w:rPr>
                <w:rFonts w:ascii="Times New Roman" w:cs="Times New Roman" w:eastAsia="Times New Roman" w:hAnsi="Times New Roman"/>
                <w:sz w:val="16"/>
                <w:szCs w:val="16"/>
                <w:i w:val="1"/>
                <w:iCs w:val="1"/>
                <w:color w:val="auto"/>
              </w:rPr>
              <w:t>(in millions, except percentages and GTV)</w:t>
            </w:r>
          </w:p>
        </w:tc>
        <w:tc>
          <w:tcPr>
            <w:tcW w:w="0" w:type="dxa"/>
            <w:vAlign w:val="bottom"/>
          </w:tcPr>
          <w:p>
            <w:pPr>
              <w:spacing w:after="0"/>
              <w:rPr>
                <w:sz w:val="1"/>
                <w:szCs w:val="1"/>
                <w:color w:val="auto"/>
              </w:rPr>
            </w:pPr>
          </w:p>
        </w:tc>
      </w:tr>
      <w:tr>
        <w:trPr>
          <w:trHeight w:val="225"/>
        </w:trPr>
        <w:tc>
          <w:tcPr>
            <w:tcW w:w="5080" w:type="dxa"/>
            <w:vAlign w:val="bottom"/>
            <w:vMerge w:val="continue"/>
          </w:tcPr>
          <w:p>
            <w:pPr>
              <w:spacing w:after="0"/>
              <w:rPr>
                <w:sz w:val="19"/>
                <w:szCs w:val="19"/>
                <w:color w:val="auto"/>
              </w:rPr>
            </w:pPr>
          </w:p>
        </w:tc>
        <w:tc>
          <w:tcPr>
            <w:tcW w:w="29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$21.7</w:t>
            </w:r>
          </w:p>
        </w:tc>
        <w:tc>
          <w:tcPr>
            <w:tcW w:w="31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$17.7</w:t>
            </w:r>
          </w:p>
        </w:tc>
        <w:tc>
          <w:tcPr>
            <w:tcW w:w="0" w:type="dxa"/>
            <w:vAlign w:val="bottom"/>
          </w:tcPr>
          <w:p>
            <w:pPr>
              <w:spacing w:after="0"/>
              <w:rPr>
                <w:sz w:val="1"/>
                <w:szCs w:val="1"/>
                <w:color w:val="auto"/>
              </w:rPr>
            </w:pPr>
          </w:p>
        </w:tc>
      </w:tr>
      <w:tr>
        <w:trPr>
          <w:trHeight w:val="262"/>
        </w:trPr>
        <w:tc>
          <w:tcPr>
            <w:tcW w:w="50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YOY GTV growth</w:t>
            </w:r>
          </w:p>
        </w:tc>
        <w:tc>
          <w:tcPr>
            <w:tcW w:w="29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23%</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20"/>
                <w:szCs w:val="20"/>
                <w:i w:val="1"/>
                <w:iCs w:val="1"/>
                <w:color w:val="auto"/>
              </w:rPr>
              <w:t>22%</w:t>
            </w:r>
          </w:p>
        </w:tc>
        <w:tc>
          <w:tcPr>
            <w:tcW w:w="0" w:type="dxa"/>
            <w:vAlign w:val="bottom"/>
          </w:tcPr>
          <w:p>
            <w:pPr>
              <w:spacing w:after="0"/>
              <w:rPr>
                <w:sz w:val="1"/>
                <w:szCs w:val="1"/>
                <w:color w:val="auto"/>
              </w:rPr>
            </w:pPr>
          </w:p>
        </w:tc>
      </w:tr>
      <w:tr>
        <w:trPr>
          <w:trHeight w:val="426"/>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$268.8</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$215.7</w:t>
            </w:r>
          </w:p>
        </w:tc>
        <w:tc>
          <w:tcPr>
            <w:tcW w:w="0" w:type="dxa"/>
            <w:vAlign w:val="bottom"/>
          </w:tcPr>
          <w:p>
            <w:pPr>
              <w:spacing w:after="0"/>
              <w:rPr>
                <w:sz w:val="1"/>
                <w:szCs w:val="1"/>
                <w:color w:val="auto"/>
              </w:rPr>
            </w:pPr>
          </w:p>
        </w:tc>
      </w:tr>
      <w:tr>
        <w:trPr>
          <w:trHeight w:val="233"/>
        </w:trPr>
        <w:tc>
          <w:tcPr>
            <w:tcW w:w="50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YOY revenue growth</w:t>
            </w:r>
          </w:p>
        </w:tc>
        <w:tc>
          <w:tcPr>
            <w:tcW w:w="29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25%</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20"/>
                <w:szCs w:val="20"/>
                <w:i w:val="1"/>
                <w:iCs w:val="1"/>
                <w:color w:val="auto"/>
              </w:rPr>
              <w:t>27%</w:t>
            </w:r>
          </w:p>
        </w:tc>
        <w:tc>
          <w:tcPr>
            <w:tcW w:w="0" w:type="dxa"/>
            <w:vAlign w:val="bottom"/>
          </w:tcPr>
          <w:p>
            <w:pPr>
              <w:spacing w:after="0"/>
              <w:rPr>
                <w:sz w:val="1"/>
                <w:szCs w:val="1"/>
                <w:color w:val="auto"/>
              </w:rPr>
            </w:pPr>
          </w:p>
        </w:tc>
      </w:tr>
      <w:tr>
        <w:trPr>
          <w:trHeight w:val="226"/>
        </w:trPr>
        <w:tc>
          <w:tcPr>
            <w:tcW w:w="50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Platform revenue</w:t>
            </w:r>
          </w:p>
        </w:tc>
        <w:tc>
          <w:tcPr>
            <w:tcW w:w="29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$260.6</w:t>
            </w:r>
          </w:p>
        </w:tc>
        <w:tc>
          <w:tcPr>
            <w:tcW w:w="31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$208.0</w:t>
            </w:r>
          </w:p>
        </w:tc>
        <w:tc>
          <w:tcPr>
            <w:tcW w:w="0" w:type="dxa"/>
            <w:vAlign w:val="bottom"/>
          </w:tcPr>
          <w:p>
            <w:pPr>
              <w:spacing w:after="0"/>
              <w:rPr>
                <w:sz w:val="1"/>
                <w:szCs w:val="1"/>
                <w:color w:val="auto"/>
              </w:rPr>
            </w:pPr>
          </w:p>
        </w:tc>
      </w:tr>
      <w:tr>
        <w:trPr>
          <w:trHeight w:val="262"/>
        </w:trPr>
        <w:tc>
          <w:tcPr>
            <w:tcW w:w="50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YOY platform revenue growth</w:t>
            </w:r>
          </w:p>
        </w:tc>
        <w:tc>
          <w:tcPr>
            <w:tcW w:w="29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25%</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20"/>
                <w:szCs w:val="20"/>
                <w:i w:val="1"/>
                <w:iCs w:val="1"/>
                <w:color w:val="auto"/>
              </w:rPr>
              <w:t>27%</w:t>
            </w:r>
          </w:p>
        </w:tc>
        <w:tc>
          <w:tcPr>
            <w:tcW w:w="0" w:type="dxa"/>
            <w:vAlign w:val="bottom"/>
          </w:tcPr>
          <w:p>
            <w:pPr>
              <w:spacing w:after="0"/>
              <w:rPr>
                <w:sz w:val="1"/>
                <w:szCs w:val="1"/>
                <w:color w:val="auto"/>
              </w:rPr>
            </w:pPr>
          </w:p>
        </w:tc>
      </w:tr>
      <w:tr>
        <w:trPr>
          <w:trHeight w:val="426"/>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GAAP loss from operations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0" w:type="dxa"/>
            <w:vAlign w:val="bottom"/>
          </w:tcPr>
          <w:p>
            <w:pPr>
              <w:spacing w:after="0"/>
              <w:rPr>
                <w:sz w:val="1"/>
                <w:szCs w:val="1"/>
                <w:color w:val="auto"/>
              </w:rPr>
            </w:pPr>
          </w:p>
        </w:tc>
      </w:tr>
      <w:tr>
        <w:trPr>
          <w:trHeight w:val="205"/>
        </w:trPr>
        <w:tc>
          <w:tcPr>
            <w:tcW w:w="508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GAAP operating margin</w:t>
            </w:r>
          </w:p>
        </w:tc>
        <w:tc>
          <w:tcPr>
            <w:tcW w:w="29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i w:val="1"/>
                <w:iCs w:val="1"/>
                <w:color w:val="auto"/>
              </w:rPr>
              <w:t>-9.6%</w:t>
            </w:r>
          </w:p>
        </w:tc>
        <w:tc>
          <w:tcPr>
            <w:tcW w:w="31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i w:val="1"/>
                <w:iCs w:val="1"/>
                <w:color w:val="auto"/>
              </w:rPr>
              <w:t>-23.0%</w:t>
            </w:r>
          </w:p>
        </w:tc>
        <w:tc>
          <w:tcPr>
            <w:tcW w:w="0" w:type="dxa"/>
            <w:vAlign w:val="bottom"/>
          </w:tcPr>
          <w:p>
            <w:pPr>
              <w:spacing w:after="0"/>
              <w:rPr>
                <w:sz w:val="1"/>
                <w:szCs w:val="1"/>
                <w:color w:val="auto"/>
              </w:rPr>
            </w:pPr>
          </w:p>
        </w:tc>
      </w:tr>
      <w:tr>
        <w:trPr>
          <w:trHeight w:val="230"/>
        </w:trPr>
        <w:tc>
          <w:tcPr>
            <w:tcW w:w="508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Non-GAAP income from operations</w:t>
            </w:r>
            <w:r>
              <w:rPr>
                <w:rFonts w:ascii="Times New Roman" w:cs="Times New Roman" w:eastAsia="Times New Roman" w:hAnsi="Times New Roman"/>
                <w:sz w:val="26"/>
                <w:szCs w:val="26"/>
                <w:color w:val="auto"/>
                <w:vertAlign w:val="superscript"/>
              </w:rPr>
              <w:t>(2)</w:t>
            </w:r>
          </w:p>
        </w:tc>
        <w:tc>
          <w:tcPr>
            <w:tcW w:w="2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34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Non-GAAP operating margin</w:t>
            </w:r>
            <w:r>
              <w:rPr>
                <w:rFonts w:ascii="Times New Roman" w:cs="Times New Roman" w:eastAsia="Times New Roman" w:hAnsi="Times New Roman"/>
                <w:sz w:val="26"/>
                <w:szCs w:val="26"/>
                <w:color w:val="auto"/>
                <w:vertAlign w:val="superscript"/>
              </w:rPr>
              <w:t>(2)</w:t>
            </w:r>
          </w:p>
        </w:tc>
        <w:tc>
          <w:tcPr>
            <w:tcW w:w="29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15.2%</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20"/>
                <w:szCs w:val="20"/>
                <w:i w:val="1"/>
                <w:iCs w:val="1"/>
                <w:color w:val="auto"/>
              </w:rPr>
              <w:t>7.5%</w:t>
            </w:r>
          </w:p>
        </w:tc>
        <w:tc>
          <w:tcPr>
            <w:tcW w:w="0" w:type="dxa"/>
            <w:vAlign w:val="bottom"/>
          </w:tcPr>
          <w:p>
            <w:pPr>
              <w:spacing w:after="0"/>
              <w:rPr>
                <w:sz w:val="1"/>
                <w:szCs w:val="1"/>
                <w:color w:val="auto"/>
              </w:rPr>
            </w:pPr>
          </w:p>
        </w:tc>
      </w:tr>
      <w:tr>
        <w:trPr>
          <w:trHeight w:val="33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GAAP net cash used in operating activities</w:t>
            </w:r>
          </w:p>
        </w:tc>
        <w:tc>
          <w:tcPr>
            <w:tcW w:w="2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0" w:type="dxa"/>
            <w:vAlign w:val="bottom"/>
          </w:tcPr>
          <w:p>
            <w:pPr>
              <w:spacing w:after="0"/>
              <w:rPr>
                <w:sz w:val="1"/>
                <w:szCs w:val="1"/>
                <w:color w:val="auto"/>
              </w:rPr>
            </w:pPr>
          </w:p>
        </w:tc>
      </w:tr>
      <w:tr>
        <w:trPr>
          <w:trHeight w:val="34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Non-GAAP free cash flow</w:t>
            </w:r>
            <w:r>
              <w:rPr>
                <w:rFonts w:ascii="Times New Roman" w:cs="Times New Roman" w:eastAsia="Times New Roman" w:hAnsi="Times New Roman"/>
                <w:sz w:val="26"/>
                <w:szCs w:val="26"/>
                <w:color w:val="auto"/>
                <w:vertAlign w:val="superscript"/>
              </w:rPr>
              <w:t>(2)</w:t>
            </w:r>
          </w:p>
        </w:tc>
        <w:tc>
          <w:tcPr>
            <w:tcW w:w="2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0" w:type="dxa"/>
            <w:vAlign w:val="bottom"/>
          </w:tcPr>
          <w:p>
            <w:pPr>
              <w:spacing w:after="0"/>
              <w:rPr>
                <w:sz w:val="1"/>
                <w:szCs w:val="1"/>
                <w:color w:val="auto"/>
              </w:rPr>
            </w:pPr>
          </w:p>
        </w:tc>
      </w:tr>
      <w:tr>
        <w:trPr>
          <w:trHeight w:val="366"/>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Net dollar retention</w:t>
            </w:r>
          </w:p>
        </w:tc>
        <w:tc>
          <w:tcPr>
            <w:tcW w:w="2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&gt; 110%</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&gt; 110%</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_________________________</w:t>
            </w:r>
          </w:p>
        </w:tc>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60" w:hanging="152"/>
        <w:spacing w:after="0"/>
        <w:tabs>
          <w:tab w:leader="none" w:pos="16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Gross Transaction Volume (“GTV”) represents the sum of total dollars invoiced by our customers through the ServiceTitan platform in a given period, which is intended to be a proxy for the total revenue our customers generate.</w:t>
      </w:r>
    </w:p>
    <w:p>
      <w:pPr>
        <w:spacing w:after="0" w:line="75" w:lineRule="exact"/>
        <w:rPr>
          <w:rFonts w:ascii="Times New Roman" w:cs="Times New Roman" w:eastAsia="Times New Roman" w:hAnsi="Times New Roman"/>
          <w:sz w:val="19"/>
          <w:szCs w:val="19"/>
          <w:color w:val="auto"/>
          <w:vertAlign w:val="superscript"/>
        </w:rPr>
      </w:pPr>
    </w:p>
    <w:p>
      <w:pPr>
        <w:ind w:firstLine="8"/>
        <w:spacing w:after="0" w:line="191" w:lineRule="auto"/>
        <w:tabs>
          <w:tab w:leader="none" w:pos="167"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This press release uses non-GAAP financial measures that adjust GAAP financial measures for the impact of various items. See the section titled “Non-GAAP Financial Measures” and the tables entitled “GAAP to Non-GAAP Reconciliation”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5934710</wp:posOffset>
            </wp:positionH>
            <wp:positionV relativeFrom="page">
              <wp:posOffset>637540</wp:posOffset>
            </wp:positionV>
            <wp:extent cx="140589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Fiscal Second Quarter and Fiscal Year 2027 Financial Outlook: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fiscal second quarter 2027 and for the full fiscal year 2027, the company currently expects: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780" w:type="dxa"/>
            <w:vAlign w:val="bottom"/>
          </w:tcPr>
          <w:p>
            <w:pPr>
              <w:spacing w:after="0"/>
              <w:rPr>
                <w:sz w:val="22"/>
                <w:szCs w:val="22"/>
                <w:color w:val="auto"/>
              </w:rPr>
            </w:pPr>
          </w:p>
        </w:tc>
        <w:tc>
          <w:tcPr>
            <w:tcW w:w="27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20"/>
                <w:szCs w:val="20"/>
                <w:b w:val="1"/>
                <w:bCs w:val="1"/>
                <w:color w:val="auto"/>
              </w:rPr>
              <w:t>Fiscal Second Quarter 2027</w:t>
            </w:r>
          </w:p>
        </w:tc>
        <w:tc>
          <w:tcPr>
            <w:tcW w:w="3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30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Full Fiscal Year 2027</w:t>
            </w:r>
          </w:p>
        </w:tc>
      </w:tr>
      <w:tr>
        <w:trPr>
          <w:trHeight w:val="200"/>
        </w:trPr>
        <w:tc>
          <w:tcPr>
            <w:tcW w:w="4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00" w:type="dxa"/>
            <w:vAlign w:val="bottom"/>
            <w:gridSpan w:val="3"/>
          </w:tcPr>
          <w:p>
            <w:pPr>
              <w:jc w:val="right"/>
              <w:ind w:right="1141"/>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0" w:type="dxa"/>
            <w:vAlign w:val="bottom"/>
          </w:tcPr>
          <w:p>
            <w:pPr>
              <w:spacing w:after="0"/>
              <w:rPr>
                <w:sz w:val="17"/>
                <w:szCs w:val="17"/>
                <w:color w:val="auto"/>
              </w:rPr>
            </w:pPr>
          </w:p>
        </w:tc>
      </w:tr>
      <w:tr>
        <w:trPr>
          <w:trHeight w:val="201"/>
        </w:trPr>
        <w:tc>
          <w:tcPr>
            <w:tcW w:w="478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Total revenue</w:t>
            </w:r>
          </w:p>
        </w:tc>
        <w:tc>
          <w:tcPr>
            <w:tcW w:w="14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$284</w:t>
            </w:r>
          </w:p>
        </w:tc>
        <w:tc>
          <w:tcPr>
            <w:tcW w:w="1300" w:type="dxa"/>
            <w:vAlign w:val="bottom"/>
          </w:tcPr>
          <w:p>
            <w:pPr>
              <w:ind w:left="40"/>
              <w:spacing w:after="0" w:line="201" w:lineRule="exact"/>
              <w:rPr>
                <w:sz w:val="20"/>
                <w:szCs w:val="20"/>
                <w:color w:val="auto"/>
              </w:rPr>
            </w:pPr>
            <w:r>
              <w:rPr>
                <w:rFonts w:ascii="Times New Roman" w:cs="Times New Roman" w:eastAsia="Times New Roman" w:hAnsi="Times New Roman"/>
                <w:sz w:val="20"/>
                <w:szCs w:val="20"/>
                <w:color w:val="auto"/>
              </w:rPr>
              <w:t>- $286</w:t>
            </w:r>
          </w:p>
        </w:tc>
        <w:tc>
          <w:tcPr>
            <w:tcW w:w="210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20"/>
                <w:szCs w:val="20"/>
                <w:color w:val="auto"/>
              </w:rPr>
              <w:t>$1,130</w:t>
            </w:r>
          </w:p>
        </w:tc>
        <w:tc>
          <w:tcPr>
            <w:tcW w:w="1600" w:type="dxa"/>
            <w:vAlign w:val="bottom"/>
          </w:tcPr>
          <w:p>
            <w:pPr>
              <w:ind w:left="20"/>
              <w:spacing w:after="0" w:line="201" w:lineRule="exact"/>
              <w:rPr>
                <w:sz w:val="20"/>
                <w:szCs w:val="20"/>
                <w:color w:val="auto"/>
              </w:rPr>
            </w:pPr>
            <w:r>
              <w:rPr>
                <w:rFonts w:ascii="Times New Roman" w:cs="Times New Roman" w:eastAsia="Times New Roman" w:hAnsi="Times New Roman"/>
                <w:sz w:val="20"/>
                <w:szCs w:val="20"/>
                <w:color w:val="auto"/>
              </w:rPr>
              <w:t>- $1,140</w:t>
            </w:r>
          </w:p>
        </w:tc>
      </w:tr>
      <w:tr>
        <w:trPr>
          <w:trHeight w:val="274"/>
        </w:trPr>
        <w:tc>
          <w:tcPr>
            <w:tcW w:w="4780" w:type="dxa"/>
            <w:vAlign w:val="bottom"/>
          </w:tcPr>
          <w:p>
            <w:pPr>
              <w:spacing w:after="0" w:line="273" w:lineRule="exact"/>
              <w:rPr>
                <w:sz w:val="20"/>
                <w:szCs w:val="20"/>
                <w:color w:val="auto"/>
              </w:rPr>
            </w:pPr>
            <w:r>
              <w:rPr>
                <w:rFonts w:ascii="Times New Roman" w:cs="Times New Roman" w:eastAsia="Times New Roman" w:hAnsi="Times New Roman"/>
                <w:sz w:val="20"/>
                <w:szCs w:val="20"/>
                <w:color w:val="auto"/>
              </w:rPr>
              <w:t>Non-GAAP income from operations</w:t>
            </w:r>
            <w:r>
              <w:rPr>
                <w:rFonts w:ascii="Times New Roman" w:cs="Times New Roman" w:eastAsia="Times New Roman" w:hAnsi="Times New Roman"/>
                <w:sz w:val="26"/>
                <w:szCs w:val="26"/>
                <w:color w:val="auto"/>
                <w:vertAlign w:val="superscript"/>
              </w:rPr>
              <w:t>(3)</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$39</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1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$147</w:t>
            </w:r>
          </w:p>
        </w:tc>
      </w:tr>
    </w:tbl>
    <w:p>
      <w:pPr>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54" w:lineRule="exact"/>
        <w:rPr>
          <w:sz w:val="20"/>
          <w:szCs w:val="20"/>
          <w:color w:val="auto"/>
        </w:rPr>
      </w:pPr>
    </w:p>
    <w:p>
      <w:pPr>
        <w:ind w:right="160" w:firstLine="8"/>
        <w:spacing w:after="0" w:line="213" w:lineRule="auto"/>
        <w:tabs>
          <w:tab w:leader="none" w:pos="156"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ServiceTitan is not able, at this time, to provide an outlook for GAAP loss from operations or a reconciliation of expected non-GAAP income from operations to GAAP loss from operations for the fiscal second quarter 2027 or for the full fiscal year 2027 because of the difficulty of estimating certain items excluded from non-GAAP income from operations that cannot be reasonably calculated or predicted without unreasonable efforts. For example, charges related to stock-based compensation expense require additional inputs, such as the number and value of awards granted, that are not currently ascertainable.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financial results and business highlights will be discussed on a conference call and webcast scheduled at 2:00 p.m. Pacific Time (5:00 p.m. Eastern Time) on Thursday, June 4, 2026. Online registration for this conference call can be found here. The live webcast of the conference call can be accessed from ServiceTitan’s investor relations website at http://investors.servicetitan.com.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completion of the events, a webcast replay will also be available at http://investors.servicetitan.com for 12 months.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ServiceTitan</w:t>
      </w:r>
    </w:p>
    <w:p>
      <w:pPr>
        <w:spacing w:after="0" w:line="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ServiceTitan is the software platform that powers trades businesses. The company’s cloud-based, end-to-end solution gives contractors the tools they need to run and grow their business, manage their back office, and provide a stellar customer experience. By bringing an integrated SaaS platform to an industry historically underserved by technology, ServiceTitan is equipping tradespeople with the technology they need to keep the world running.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Securities Act of 1933, as amended, the Securities Exchange Act of 1934, as amended, and the Private Securities Litigation Reform Act of 1995. All statements other than statements of historical facts contained in this press release may be forward-looking statements. In some cases, you can identify forward-looking statements because they contain words such as “anticipate,” “believe,” “contemplate,” “continue,” “could,” “estimate,” “expect,” “goal,” “intend,” “likely,” “may,” “plan,” “potential,” “predict,” “project,” “seek,” “should,” “strategy,” “target,” or “will,” or the negative of these words or other similar terms or expressions that concern ServiceTitan’s expectations, strategy, plans or intentions. Forward-looking statements in this release include, but are not limited to, statements regarding ServiceTitan’s financial outlook for total revenue and non-GAAP income from operations for fiscal second quarter 2027 ending July 31, 2026 and the full fiscal year ending January 31, 2027, and statements regarding our operating and organizational velocity, AI strategy, and plans for Max. ServiceTitan’s expectations and beliefs regarding these matters may not materialize, and actual results in future periods are subject to risks and uncertainties that could cause actual results to differ materially from those projected, including those more fully described under the caption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in our Annual Report on Form 10-K for fiscal 2026 ended January 31, 2026 as filed with the SEC on March 25, 2026, which should be read in conjunction with this press release and the financial results included herein. Additional information will be set forth in our Quarterly Report on Form 10-Q for the fiscal first quarter 2027 ended April 30, 2026. The forward-looking statements in this release are based on information available to ServiceTitan as of the date hereof, and ServiceTitan undertakes no obligation to update any forward-looking statements, except as required by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5934710</wp:posOffset>
            </wp:positionH>
            <wp:positionV relativeFrom="page">
              <wp:posOffset>637540</wp:posOffset>
            </wp:positionV>
            <wp:extent cx="140589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Press Contact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Max Wertheimer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ServiceTitan, Inc.</w:t>
      </w:r>
    </w:p>
    <w:p>
      <w:pPr>
        <w:spacing w:after="0"/>
        <w:rPr>
          <w:sz w:val="20"/>
          <w:szCs w:val="20"/>
          <w:color w:val="auto"/>
        </w:rPr>
      </w:pPr>
      <w:r>
        <w:rPr>
          <w:rFonts w:ascii="Times New Roman" w:cs="Times New Roman" w:eastAsia="Times New Roman" w:hAnsi="Times New Roman"/>
          <w:sz w:val="20"/>
          <w:szCs w:val="20"/>
          <w:color w:val="auto"/>
        </w:rPr>
        <w:t>press@servicetitan.com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Jason Rechel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ServiceTitan, Inc.</w:t>
      </w:r>
    </w:p>
    <w:p>
      <w:pPr>
        <w:spacing w:after="0"/>
        <w:rPr>
          <w:sz w:val="20"/>
          <w:szCs w:val="20"/>
          <w:color w:val="auto"/>
        </w:rPr>
      </w:pPr>
      <w:r>
        <w:rPr>
          <w:rFonts w:ascii="Times New Roman" w:cs="Times New Roman" w:eastAsia="Times New Roman" w:hAnsi="Times New Roman"/>
          <w:sz w:val="20"/>
          <w:szCs w:val="20"/>
          <w:color w:val="auto"/>
        </w:rPr>
        <w:t>investors@servicetitan.com</w:t>
      </w:r>
    </w:p>
    <w:p>
      <w:pPr>
        <w:spacing w:after="0" w:line="190" w:lineRule="exact"/>
        <w:rPr>
          <w:sz w:val="20"/>
          <w:szCs w:val="20"/>
          <w:color w:val="auto"/>
        </w:rPr>
      </w:pPr>
    </w:p>
    <w:p>
      <w:pPr>
        <w:jc w:val="both"/>
        <w:ind w:firstLine="8"/>
        <w:spacing w:after="0" w:line="256" w:lineRule="auto"/>
        <w:tabs>
          <w:tab w:leader="none" w:pos="221"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2026 ServiceTitan. All rights reserved. ServiceTitan, the ServiceTitan logo, and all ServiceTitan product and service names mentioned herein are registered trademarks or unregistered trademarks of ServiceTitan, Inc. in the United States and other countries. Other brand names and marks mentioned herein are for identification purposes only and may be the trademarks of their respective holder(s).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5934710</wp:posOffset>
            </wp:positionH>
            <wp:positionV relativeFrom="page">
              <wp:posOffset>637540</wp:posOffset>
            </wp:positionV>
            <wp:extent cx="140589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00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color w:val="auto"/>
        </w:rPr>
        <w:t>ServiceTitan,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8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96"/>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256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80" w:type="dxa"/>
            <w:vAlign w:val="bottom"/>
            <w:vMerge w:val="continue"/>
          </w:tcPr>
          <w:p>
            <w:pPr>
              <w:spacing w:after="0"/>
              <w:rPr>
                <w:sz w:val="16"/>
                <w:szCs w:val="16"/>
                <w:color w:val="auto"/>
              </w:rPr>
            </w:pPr>
          </w:p>
        </w:tc>
        <w:tc>
          <w:tcPr>
            <w:tcW w:w="2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Platform</w:t>
            </w:r>
          </w:p>
        </w:tc>
        <w:tc>
          <w:tcPr>
            <w:tcW w:w="29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260,564</w:t>
            </w:r>
          </w:p>
        </w:tc>
        <w:tc>
          <w:tcPr>
            <w:tcW w:w="2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5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268,824</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Cost of revenue:</w:t>
            </w:r>
          </w:p>
        </w:tc>
        <w:tc>
          <w:tcPr>
            <w:tcW w:w="2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Platform</w:t>
            </w:r>
          </w:p>
        </w:tc>
        <w:tc>
          <w:tcPr>
            <w:tcW w:w="2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19,524</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5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75,033</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5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193,791</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Operating expenses:</w:t>
            </w:r>
          </w:p>
        </w:tc>
        <w:tc>
          <w:tcPr>
            <w:tcW w:w="2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58,457</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219,553</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5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Other income (expense), net</w:t>
            </w:r>
          </w:p>
        </w:tc>
        <w:tc>
          <w:tcPr>
            <w:tcW w:w="2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4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5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Loss before income taxes</w:t>
            </w:r>
          </w:p>
        </w:tc>
        <w:tc>
          <w:tcPr>
            <w:tcW w:w="2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(21,867)</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(46,130)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5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(22,818)</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56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256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28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w:t>
            </w:r>
          </w:p>
        </w:tc>
        <w:tc>
          <w:tcPr>
            <w:tcW w:w="2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80" w:type="dxa"/>
            <w:vAlign w:val="bottom"/>
            <w:vMerge w:val="continue"/>
          </w:tcPr>
          <w:p>
            <w:pPr>
              <w:spacing w:after="0"/>
              <w:rPr>
                <w:sz w:val="15"/>
                <w:szCs w:val="15"/>
                <w:color w:val="auto"/>
              </w:rPr>
            </w:pPr>
          </w:p>
        </w:tc>
        <w:tc>
          <w:tcPr>
            <w:tcW w:w="2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95,003,992</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90,334,442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6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per share, basic and diluted</w:t>
            </w:r>
          </w:p>
        </w:tc>
        <w:tc>
          <w:tcPr>
            <w:tcW w:w="25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Disaggregated Revenue</w:t>
            </w:r>
          </w:p>
        </w:tc>
        <w:tc>
          <w:tcPr>
            <w:tcW w:w="2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68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8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96"/>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256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80" w:type="dxa"/>
            <w:vAlign w:val="bottom"/>
            <w:vMerge w:val="continue"/>
          </w:tcPr>
          <w:p>
            <w:pPr>
              <w:spacing w:after="0"/>
              <w:rPr>
                <w:sz w:val="16"/>
                <w:szCs w:val="16"/>
                <w:color w:val="auto"/>
              </w:rPr>
            </w:pPr>
          </w:p>
        </w:tc>
        <w:tc>
          <w:tcPr>
            <w:tcW w:w="2560" w:type="dxa"/>
            <w:vAlign w:val="bottom"/>
          </w:tcPr>
          <w:p>
            <w:pPr>
              <w:spacing w:after="0"/>
              <w:rPr>
                <w:sz w:val="16"/>
                <w:szCs w:val="16"/>
                <w:color w:val="auto"/>
              </w:rPr>
            </w:pPr>
          </w:p>
        </w:tc>
        <w:tc>
          <w:tcPr>
            <w:tcW w:w="42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202,038</w:t>
            </w:r>
          </w:p>
        </w:tc>
        <w:tc>
          <w:tcPr>
            <w:tcW w:w="280" w:type="dxa"/>
            <w:vAlign w:val="bottom"/>
          </w:tcPr>
          <w:p>
            <w:pPr>
              <w:spacing w:after="0"/>
              <w:rPr>
                <w:sz w:val="16"/>
                <w:szCs w:val="16"/>
                <w:color w:val="auto"/>
              </w:rPr>
            </w:pPr>
          </w:p>
        </w:tc>
        <w:tc>
          <w:tcPr>
            <w:tcW w:w="42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162,717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Usage</w:t>
            </w:r>
          </w:p>
        </w:tc>
        <w:tc>
          <w:tcPr>
            <w:tcW w:w="2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58,526</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Platform revenue</w:t>
            </w:r>
          </w:p>
        </w:tc>
        <w:tc>
          <w:tcPr>
            <w:tcW w:w="2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260,564</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207,982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56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268,824</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56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-5172710</wp:posOffset>
            </wp:positionV>
            <wp:extent cx="9398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-5172710</wp:posOffset>
            </wp:positionV>
            <wp:extent cx="9398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5934710</wp:posOffset>
            </wp:positionH>
            <wp:positionV relativeFrom="page">
              <wp:posOffset>637540</wp:posOffset>
            </wp:positionV>
            <wp:extent cx="1405890"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003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ServiceTitan,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240" w:type="dxa"/>
            <w:vAlign w:val="bottom"/>
          </w:tcPr>
          <w:p>
            <w:pPr>
              <w:spacing w:after="0"/>
              <w:rPr>
                <w:sz w:val="10"/>
                <w:szCs w:val="10"/>
                <w:color w:val="auto"/>
              </w:rPr>
            </w:pPr>
          </w:p>
        </w:tc>
        <w:tc>
          <w:tcPr>
            <w:tcW w:w="1340" w:type="dxa"/>
            <w:vAlign w:val="bottom"/>
          </w:tcPr>
          <w:p>
            <w:pPr>
              <w:jc w:val="right"/>
              <w:ind w:right="368"/>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7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gridSpan w:val="2"/>
            <w:vMerge w:val="restart"/>
          </w:tcPr>
          <w:p>
            <w:pPr>
              <w:jc w:val="right"/>
              <w:ind w:right="19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421,531</w:t>
            </w:r>
          </w:p>
        </w:tc>
        <w:tc>
          <w:tcPr>
            <w:tcW w:w="260" w:type="dxa"/>
            <w:vAlign w:val="bottom"/>
          </w:tcPr>
          <w:p>
            <w:pPr>
              <w:spacing w:after="0"/>
              <w:rPr>
                <w:sz w:val="12"/>
                <w:szCs w:val="12"/>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428,769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gridSpan w:val="2"/>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of $9,585 and $11,963 as of April 30, 2026 and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63,361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55,974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January 31, 2026, respectively</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contract costs, current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64,553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28,610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assets</w:t>
            </w: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7,576</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720" w:type="dxa"/>
            <w:vAlign w:val="bottom"/>
          </w:tcPr>
          <w:p>
            <w:pPr>
              <w:ind w:left="560"/>
              <w:spacing w:after="0" w:line="119" w:lineRule="exact"/>
              <w:rPr>
                <w:sz w:val="20"/>
                <w:szCs w:val="20"/>
                <w:color w:val="auto"/>
              </w:rPr>
            </w:pPr>
            <w:r>
              <w:rPr>
                <w:rFonts w:ascii="Times New Roman" w:cs="Times New Roman" w:eastAsia="Times New Roman" w:hAnsi="Times New Roman"/>
                <w:sz w:val="13"/>
                <w:szCs w:val="13"/>
                <w:color w:val="auto"/>
              </w:rPr>
              <w:t>Total current assets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600,880</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590,858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 noncurrent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contract costs, noncurrent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14,139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36,984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Internal-use software, net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39,844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166,889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176,743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860,250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860,250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7,014</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Pr>
          <w:p>
            <w:pPr>
              <w:spacing w:after="0"/>
              <w:rPr>
                <w:sz w:val="12"/>
                <w:szCs w:val="12"/>
                <w:color w:val="auto"/>
              </w:rPr>
            </w:pPr>
          </w:p>
        </w:tc>
        <w:tc>
          <w:tcPr>
            <w:tcW w:w="2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5"/>
                <w:szCs w:val="5"/>
                <w:color w:val="auto"/>
                <w:w w:val="78"/>
              </w:rPr>
              <w:t>$</w:t>
            </w:r>
          </w:p>
        </w:tc>
        <w:tc>
          <w:tcPr>
            <w:tcW w:w="1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1,747,390</w:t>
            </w:r>
          </w:p>
        </w:tc>
        <w:tc>
          <w:tcPr>
            <w:tcW w:w="26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1,745,057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7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gridSpan w:val="2"/>
            <w:vMerge w:val="restart"/>
          </w:tcPr>
          <w:p>
            <w:pPr>
              <w:jc w:val="right"/>
              <w:ind w:right="19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55,965</w:t>
            </w:r>
          </w:p>
        </w:tc>
        <w:tc>
          <w:tcPr>
            <w:tcW w:w="260" w:type="dxa"/>
            <w:vAlign w:val="bottom"/>
          </w:tcPr>
          <w:p>
            <w:pPr>
              <w:spacing w:after="0"/>
              <w:rPr>
                <w:sz w:val="12"/>
                <w:szCs w:val="12"/>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 and other accrued expenses</w:t>
            </w:r>
          </w:p>
        </w:tc>
        <w:tc>
          <w:tcPr>
            <w:tcW w:w="280" w:type="dxa"/>
            <w:vAlign w:val="bottom"/>
            <w:gridSpan w:val="2"/>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personnel related expenses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42,424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revenue, current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19,036</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720" w:type="dxa"/>
            <w:vAlign w:val="bottom"/>
          </w:tcPr>
          <w:p>
            <w:pPr>
              <w:ind w:left="560"/>
              <w:spacing w:after="0" w:line="119" w:lineRule="exact"/>
              <w:rPr>
                <w:sz w:val="20"/>
                <w:szCs w:val="20"/>
                <w:color w:val="auto"/>
              </w:rPr>
            </w:pPr>
            <w:r>
              <w:rPr>
                <w:rFonts w:ascii="Times New Roman" w:cs="Times New Roman" w:eastAsia="Times New Roman" w:hAnsi="Times New Roman"/>
                <w:sz w:val="13"/>
                <w:szCs w:val="13"/>
                <w:color w:val="auto"/>
              </w:rPr>
              <w:t>Total current liabilities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135,425</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169,452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37,404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13,985</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186,814</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219,823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7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stock, par value $0.001, 100,000,000 shares authorized as of April 30, 2026</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January 31, 2026. 0 shares issued and outstanding as of April 30, 2026 and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1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9"/>
        </w:trPr>
        <w:tc>
          <w:tcPr>
            <w:tcW w:w="7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January 31, 2026</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A common stock, par value $0.001, 1,000,000,000 shares authorized as of</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April 30, 2026 and January 31, 2026. 82,736,967 shares and 81,956,537 shares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issued and outstanding as of April 30, 2026 and January 31, 2026, respectively</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B common stock, par value $0.001, 100,000,000 shares authorized as of</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April 30, 2026 and January 31, 2026. 12,651,154 shares and 12,644,614 shares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issued and outstanding as of April 30, 2026 and January 31, 2026, respectively</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C common stock, par value $0.001, 100,000,000 shares authorized as of</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April 30, 2026 and January 31, 2026. 0 shares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1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7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issued and outstanding as of April 30, 2026 and January 31, 2026</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2,848,881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2,790,722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(1,288,401)</w:t>
            </w:r>
          </w:p>
        </w:tc>
        <w:tc>
          <w:tcPr>
            <w:tcW w:w="24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(1,265,583)</w:t>
            </w:r>
          </w:p>
        </w:tc>
        <w:tc>
          <w:tcPr>
            <w:tcW w:w="0" w:type="dxa"/>
            <w:vAlign w:val="bottom"/>
          </w:tcPr>
          <w:p>
            <w:pPr>
              <w:spacing w:after="0"/>
              <w:rPr>
                <w:sz w:val="1"/>
                <w:szCs w:val="1"/>
                <w:color w:val="auto"/>
              </w:rPr>
            </w:pPr>
          </w:p>
        </w:tc>
      </w:tr>
      <w:tr>
        <w:trPr>
          <w:trHeight w:val="142"/>
        </w:trPr>
        <w:tc>
          <w:tcPr>
            <w:tcW w:w="772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1,560,576</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1,525,234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5"/>
                <w:szCs w:val="5"/>
                <w:color w:val="auto"/>
                <w:w w:val="78"/>
              </w:rPr>
              <w:t>$</w:t>
            </w:r>
          </w:p>
        </w:tc>
        <w:tc>
          <w:tcPr>
            <w:tcW w:w="1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1,747,390</w:t>
            </w:r>
          </w:p>
        </w:tc>
        <w:tc>
          <w:tcPr>
            <w:tcW w:w="26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1,745,057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 w:name="page9"/>
    <w:bookmarkEnd w:id="8"/>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5934710</wp:posOffset>
            </wp:positionH>
            <wp:positionV relativeFrom="page">
              <wp:posOffset>637540</wp:posOffset>
            </wp:positionV>
            <wp:extent cx="140589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003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ServiceTitan,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 thousands)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used in operating activities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00" w:type="dxa"/>
            <w:vAlign w:val="bottom"/>
            <w:vMerge w:val="continue"/>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(22,818)</w:t>
            </w:r>
          </w:p>
        </w:tc>
        <w:tc>
          <w:tcPr>
            <w:tcW w:w="1080" w:type="dxa"/>
            <w:vAlign w:val="bottom"/>
            <w:gridSpan w:val="2"/>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(46,364)</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activities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deferred contract costs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impairment and disposal of assets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9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 of business acquisition:</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(9,060)</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(2,964)</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contract costs</w:t>
            </w:r>
          </w:p>
        </w:tc>
        <w:tc>
          <w:tcPr>
            <w:tcW w:w="9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(3,788)</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(5,739)</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9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(6,776)</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9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(2,261)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other accrued expenses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personnel related expenses</w:t>
            </w:r>
          </w:p>
        </w:tc>
        <w:tc>
          <w:tcPr>
            <w:tcW w:w="9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(38,861)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(40,632)</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(4,185)</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liabilities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196"/>
        </w:trPr>
        <w:tc>
          <w:tcPr>
            <w:tcW w:w="77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7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Capitalized internal-use software</w:t>
            </w:r>
          </w:p>
        </w:tc>
        <w:tc>
          <w:tcPr>
            <w:tcW w:w="9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(6,663)</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(6,472)</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9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Deposits for property and equipment</w:t>
            </w:r>
          </w:p>
        </w:tc>
        <w:tc>
          <w:tcPr>
            <w:tcW w:w="9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7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7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Cash flows provided by financing activities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debt arrangements</w:t>
            </w:r>
          </w:p>
        </w:tc>
        <w:tc>
          <w:tcPr>
            <w:tcW w:w="9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deferred initial public offering costs</w:t>
            </w:r>
          </w:p>
        </w:tc>
        <w:tc>
          <w:tcPr>
            <w:tcW w:w="9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0" w:type="dxa"/>
            <w:vAlign w:val="bottom"/>
          </w:tcPr>
          <w:p>
            <w:pPr>
              <w:spacing w:after="0"/>
              <w:rPr>
                <w:sz w:val="1"/>
                <w:szCs w:val="1"/>
                <w:color w:val="auto"/>
              </w:rPr>
            </w:pPr>
          </w:p>
        </w:tc>
      </w:tr>
      <w:tr>
        <w:trPr>
          <w:trHeight w:val="202"/>
        </w:trPr>
        <w:tc>
          <w:tcPr>
            <w:tcW w:w="77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700" w:type="dxa"/>
            <w:vAlign w:val="bottom"/>
          </w:tcPr>
          <w:p>
            <w:pPr>
              <w:ind w:left="560"/>
              <w:spacing w:after="0" w:line="181" w:lineRule="exact"/>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96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(7,405)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(21,954)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429,352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96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421,947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420,892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-1366520</wp:posOffset>
            </wp:positionV>
            <wp:extent cx="939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-1366520</wp:posOffset>
            </wp:positionV>
            <wp:extent cx="10287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-706120</wp:posOffset>
            </wp:positionV>
            <wp:extent cx="93980" cy="1708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-706120</wp:posOffset>
            </wp:positionV>
            <wp:extent cx="102870" cy="170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17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 w:name="page10"/>
    <w:bookmarkEnd w:id="9"/>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5934710</wp:posOffset>
            </wp:positionH>
            <wp:positionV relativeFrom="page">
              <wp:posOffset>637540</wp:posOffset>
            </wp:positionV>
            <wp:extent cx="140589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Statement Regarding Use of Non-GAAP Financial Measures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to our results prepared in accordance with GAAP, we believe non-GAAP gross profit and non-GAAP gross margin, in total and for platform, and professional services and other, non-GAAP sales and marketing expense, non-GAAP research and development expense, non-GAAP general and administrative expense, non-GAAP income from operations, non-GAAP operating margin, non-GAAP net income and non-GAAP earnings per share (“EPS”) are useful in evaluating our operating performance.</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These measures, however, have certain limitations in that they reflect the exercise of judgment by our management about which expenses are excluded or included and do not include the impact of certain expenses that are reflected in our consolidated statement of operations that are necessary to run our business. These non-GAAP financial measures should be considered in addition to, not as a substitute for or in isolation from, our financial results determined in accordance with GAAP. We caution investors that amounts presented in accordance with our definition of non-GAAP gross profit, non-GAAP gross margin, non-GAAP sales and marketing expense, non-GAAP research and development expense, non-GAAP general and administrative expense, non-GAAP income from operations, non-GAAP operating margin, non-GAAP net income and non-GAAP EPS may not be comparable to similar measures disclosed by other companies because not all companies and analysts calculate these measures in the same manner.</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reasons set forth below, we believe that excluding the following items provides information that is helpful in understanding our operating results, evaluating our future prospects, comparing our financial results across accounting periods, and comparing our financial results to our peers, many of which provide similar non-GAAP financial measures.</w:t>
      </w:r>
    </w:p>
    <w:p>
      <w:pPr>
        <w:spacing w:after="0" w:line="292" w:lineRule="exact"/>
        <w:rPr>
          <w:sz w:val="20"/>
          <w:szCs w:val="20"/>
          <w:color w:val="auto"/>
        </w:rPr>
      </w:pPr>
    </w:p>
    <w:p>
      <w:pPr>
        <w:jc w:val="both"/>
        <w:ind w:left="1020" w:hanging="503"/>
        <w:spacing w:after="0" w:line="243"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Stock-based compensation expense and related employer payroll taxes. </w:t>
      </w:r>
      <w:r>
        <w:rPr>
          <w:rFonts w:ascii="Times New Roman" w:cs="Times New Roman" w:eastAsia="Times New Roman" w:hAnsi="Times New Roman"/>
          <w:sz w:val="20"/>
          <w:szCs w:val="20"/>
          <w:color w:val="auto"/>
        </w:rPr>
        <w:t>We exclude stock-based compensation expense,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including the performance-based RSUs granted to our Co-Founders, and related employer payroll taxes to allow investors to make more meaningful comparisons of our performance between periods and to facilitate a comparison of our performance to those of other peer companies. Stock-based compensation may vary between periods due to various factors unrelated to our core performance, including as a result of the assumptions used in the valuation methodologies, timing and amount of grants and other factors. We exclude employer payroll taxes because the amounts vary based on timing and settlement or vesting of awards unrelated to our core operating performance. Moreover, stock-based compensation expense is a non-cash expense that we exclude from our internal management reporting processes and when assessing our actual performance, budgeting, planning, and forecasting future periods.</w:t>
      </w:r>
    </w:p>
    <w:p>
      <w:pPr>
        <w:spacing w:after="0" w:line="77" w:lineRule="exact"/>
        <w:rPr>
          <w:rFonts w:ascii="Times New Roman" w:cs="Times New Roman" w:eastAsia="Times New Roman" w:hAnsi="Times New Roman"/>
          <w:sz w:val="20"/>
          <w:szCs w:val="20"/>
          <w:color w:val="auto"/>
        </w:rPr>
      </w:pPr>
    </w:p>
    <w:p>
      <w:pPr>
        <w:jc w:val="both"/>
        <w:ind w:left="1020" w:hanging="503"/>
        <w:spacing w:after="0" w:line="245"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Amortization of acquired intangible assets. </w:t>
      </w:r>
      <w:r>
        <w:rPr>
          <w:rFonts w:ascii="Times New Roman" w:cs="Times New Roman" w:eastAsia="Times New Roman" w:hAnsi="Times New Roman"/>
          <w:sz w:val="20"/>
          <w:szCs w:val="20"/>
          <w:color w:val="auto"/>
        </w:rPr>
        <w:t>We incur amortization expense for acquired intangible assets in connection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acquisitions of certain businesses and technologies. Amortization of acquired intangible assets is a non-cash expense that is significantly affected by the timing and size of acquisitions, and the inherent subjective nature of purchase price allocations. Because these costs have already been incurred, we exclude the amortization expense from our internal management reporting processes. We exclude these charges when assessing our actual performance and when budgeting, planning, and forecasting future periods. Investors should note that the use of intangible assets contributed to our revenues earned during the periods presented and will contribute to our future period revenues as well.</w:t>
      </w:r>
    </w:p>
    <w:p>
      <w:pPr>
        <w:spacing w:after="0" w:line="71" w:lineRule="exact"/>
        <w:rPr>
          <w:rFonts w:ascii="Times New Roman" w:cs="Times New Roman" w:eastAsia="Times New Roman" w:hAnsi="Times New Roman"/>
          <w:sz w:val="20"/>
          <w:szCs w:val="20"/>
          <w:color w:val="auto"/>
        </w:rPr>
      </w:pPr>
    </w:p>
    <w:p>
      <w:pPr>
        <w:jc w:val="both"/>
        <w:ind w:left="1020" w:hanging="503"/>
        <w:spacing w:after="0" w:line="250"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Loss on operating lease assets. </w:t>
      </w:r>
      <w:r>
        <w:rPr>
          <w:rFonts w:ascii="Times New Roman" w:cs="Times New Roman" w:eastAsia="Times New Roman" w:hAnsi="Times New Roman"/>
          <w:sz w:val="20"/>
          <w:szCs w:val="20"/>
          <w:color w:val="auto"/>
        </w:rPr>
        <w:t>We have incurred impairments on certain right-of-use assets and other long-lived assets.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believe that it is useful to exclude these charges when assessing the level of various operating expenses and resource allocations when budgeting, planning and forecasting future periods. In addition, we believe excluding such costs enhances the comparability between periods.</w:t>
      </w:r>
    </w:p>
    <w:p>
      <w:pPr>
        <w:spacing w:after="0" w:line="67" w:lineRule="exact"/>
        <w:rPr>
          <w:rFonts w:ascii="Times New Roman" w:cs="Times New Roman" w:eastAsia="Times New Roman" w:hAnsi="Times New Roman"/>
          <w:sz w:val="20"/>
          <w:szCs w:val="20"/>
          <w:color w:val="auto"/>
        </w:rPr>
      </w:pPr>
    </w:p>
    <w:p>
      <w:pPr>
        <w:jc w:val="both"/>
        <w:ind w:left="1020" w:hanging="503"/>
        <w:spacing w:after="0" w:line="250"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Acquisition-related items. </w:t>
      </w:r>
      <w:r>
        <w:rPr>
          <w:rFonts w:ascii="Times New Roman" w:cs="Times New Roman" w:eastAsia="Times New Roman" w:hAnsi="Times New Roman"/>
          <w:sz w:val="20"/>
          <w:szCs w:val="20"/>
          <w:color w:val="auto"/>
        </w:rPr>
        <w:t>We have incurred costs related to acquisitions, including legal, third-party valuation and due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diligence, insurance costs, and one-time retention bonuses for employees of acquired companies. In addition, we periodically record the change to the fair value of contingent consideration related to past acquisitions. We exclude these items when assessing our actual performance and when budgeting, planning and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5934710</wp:posOffset>
            </wp:positionH>
            <wp:positionV relativeFrom="page">
              <wp:posOffset>637540</wp:posOffset>
            </wp:positionV>
            <wp:extent cx="140589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0030"/>
                    </a:xfrm>
                    <a:prstGeom prst="rect">
                      <a:avLst/>
                    </a:prstGeom>
                    <a:noFill/>
                  </pic:spPr>
                </pic:pic>
              </a:graphicData>
            </a:graphic>
          </wp:anchor>
        </w:drawing>
      </w:r>
    </w:p>
    <w:p>
      <w:pPr>
        <w:ind w:left="1020"/>
        <w:spacing w:after="0" w:line="269" w:lineRule="auto"/>
        <w:rPr>
          <w:sz w:val="20"/>
          <w:szCs w:val="20"/>
          <w:color w:val="auto"/>
        </w:rPr>
      </w:pPr>
      <w:r>
        <w:rPr>
          <w:rFonts w:ascii="Times New Roman" w:cs="Times New Roman" w:eastAsia="Times New Roman" w:hAnsi="Times New Roman"/>
          <w:sz w:val="20"/>
          <w:szCs w:val="20"/>
          <w:color w:val="auto"/>
        </w:rPr>
        <w:t>forecasting future periods. We believe excluding these items allows investors to make meaningful comparisons between our core operating results and those of other peer companies.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Change in Non-GAAP Measures Presentation</w:t>
      </w:r>
    </w:p>
    <w:p>
      <w:pPr>
        <w:spacing w:after="0" w:line="1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Effective February 1, 2026, the beginning of our first quarter of fiscal 2027, we adopted a fixed long-term projected non-GAAP tax rate in order to provide better consistency across interim reporting periods. When projecting the long-term non-GAAP tax rate, we utilize a financial projection that excludes the direct impact of the items excluded from GAAP income in calculating our non-GAAP income. The projected rate considers other factors such as our current operating structure, existing tax positions in various jurisdictions, and key legislation in major jurisdictions where we operate. For fiscal 2027, we determined the projected non-GAAP tax rate to be 18%, which reflects currently available information, as well as other factors and assumptions that may change over time. We will periodically re-evaluate this tax rate, as necessary, for significant events, relevant tax law changes, material changes in the forecasted geographic earnings mix, and any significant acquisitions.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Non-GAAP EPS</w:t>
      </w:r>
    </w:p>
    <w:p>
      <w:pPr>
        <w:spacing w:after="0" w:line="1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define non-GAAP basic EPS as non-GAAP net income divided by weighted-average shares outstanding used in computing net loss per share attributable to common stockholders, basic. We define non-GAAP diluted EPS as non-GAAP net income divided by weighted-average shares outstanding giving effect to the weighted average of all potentially dilutive common stock equivalents outstanding for the period including options to purchase common stock, restricted stock units, and acquisition indemnity shares withheld. The dilutive effect of outstanding awards is reflected in non-GAAP diluted earnings per share by application of the treasury method.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Free Cash Flow</w:t>
      </w:r>
    </w:p>
    <w:p>
      <w:pPr>
        <w:spacing w:after="0" w:line="1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define free cash flow as GAAP net cash provided by (used in) operating activities less cash used for investing activities for capitalized internal use software and less cash paid for purchases of, and deposits for, property and equipment. We believe that free cash flow is a meaningful indicator of our sources of liquidity and capital requirements that provides information to management and investors in evaluating the cash flow trends of our business. Once our business needs and obligations are met, cash can be used to maintain a strong balance sheet and invest in future growth. Free cash flow has limitations as an analytical tool and should not be considered in isolation or as a substitute for analysis of our results as reported under GAAP. Other companies may calculate free cash flow or similarly titled non-GAAP measures differently, which could reduce the usefulness of free cash flow as a tool for comparison. In addition, free cash flow does not reflect mandatory debt service and other non-discretionary expenditures that are required to be made under contractual commitments and does not represent the total increase or decrease in our cash balance for any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5934710</wp:posOffset>
            </wp:positionH>
            <wp:positionV relativeFrom="page">
              <wp:posOffset>637540</wp:posOffset>
            </wp:positionV>
            <wp:extent cx="140589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003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ServiceTitan,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GAAP to Non-GAAP Reconciliations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Gross Profit and Non-GAAP Gross Margin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40" w:type="dxa"/>
            <w:vAlign w:val="bottom"/>
            <w:gridSpan w:val="8"/>
          </w:tcPr>
          <w:p>
            <w:pPr>
              <w:jc w:val="center"/>
              <w:ind w:right="880"/>
              <w:spacing w:after="0"/>
              <w:rPr>
                <w:sz w:val="20"/>
                <w:szCs w:val="20"/>
                <w:color w:val="auto"/>
              </w:rPr>
            </w:pPr>
            <w:r>
              <w:rPr>
                <w:rFonts w:ascii="Times New Roman" w:cs="Times New Roman" w:eastAsia="Times New Roman" w:hAnsi="Times New Roman"/>
                <w:sz w:val="12"/>
                <w:szCs w:val="12"/>
                <w:b w:val="1"/>
                <w:bCs w:val="1"/>
                <w:color w:val="auto"/>
                <w:w w:val="98"/>
              </w:rPr>
              <w:t>Professional</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5"/>
          </w:tcPr>
          <w:p>
            <w:pPr>
              <w:jc w:val="right"/>
              <w:ind w:right="96"/>
              <w:spacing w:after="0"/>
              <w:rPr>
                <w:sz w:val="20"/>
                <w:szCs w:val="20"/>
                <w:color w:val="auto"/>
              </w:rPr>
            </w:pPr>
            <w:r>
              <w:rPr>
                <w:rFonts w:ascii="Times New Roman" w:cs="Times New Roman" w:eastAsia="Times New Roman" w:hAnsi="Times New Roman"/>
                <w:sz w:val="12"/>
                <w:szCs w:val="12"/>
                <w:b w:val="1"/>
                <w:bCs w:val="1"/>
                <w:color w:val="auto"/>
              </w:rPr>
              <w:t>Platform</w:t>
            </w: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Services and Other</w:t>
            </w:r>
          </w:p>
        </w:tc>
        <w:tc>
          <w:tcPr>
            <w:tcW w:w="220" w:type="dxa"/>
            <w:vAlign w:val="bottom"/>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gridSpan w:val="9"/>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8"/>
              </w:rPr>
              <w:t>Three Months Ended April 30,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9"/>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Three Months Ended April 30,</w:t>
            </w:r>
          </w:p>
        </w:tc>
        <w:tc>
          <w:tcPr>
            <w:tcW w:w="140" w:type="dxa"/>
            <w:vAlign w:val="bottom"/>
          </w:tcPr>
          <w:p>
            <w:pPr>
              <w:spacing w:after="0"/>
              <w:rPr>
                <w:sz w:val="17"/>
                <w:szCs w:val="17"/>
                <w:color w:val="auto"/>
              </w:rPr>
            </w:pPr>
          </w:p>
        </w:tc>
        <w:tc>
          <w:tcPr>
            <w:tcW w:w="2100" w:type="dxa"/>
            <w:vAlign w:val="bottom"/>
            <w:gridSpan w:val="7"/>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Three Months Ended April 30,</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2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2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3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2026</w:t>
            </w:r>
          </w:p>
        </w:tc>
        <w:tc>
          <w:tcPr>
            <w:tcW w:w="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40" w:type="dxa"/>
            <w:vAlign w:val="bottom"/>
            <w:gridSpan w:val="8"/>
          </w:tcPr>
          <w:p>
            <w:pPr>
              <w:ind w:left="10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205,055</w:t>
            </w:r>
          </w:p>
        </w:tc>
        <w:tc>
          <w:tcPr>
            <w:tcW w:w="120" w:type="dxa"/>
            <w:vAlign w:val="bottom"/>
          </w:tcPr>
          <w:p>
            <w:pPr>
              <w:spacing w:after="0"/>
              <w:rPr>
                <w:sz w:val="18"/>
                <w:szCs w:val="18"/>
                <w:color w:val="auto"/>
              </w:rPr>
            </w:pP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157,945</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(11,264)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193,791</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related employer payroll taxes</w:t>
            </w:r>
          </w:p>
        </w:tc>
        <w:tc>
          <w:tcPr>
            <w:tcW w:w="3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1,398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Amortization of acquired intangible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 on operating lease assets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211,716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165,836</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202,374</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Professional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2"/>
                <w:szCs w:val="12"/>
                <w:b w:val="1"/>
                <w:bCs w:val="1"/>
                <w:color w:val="auto"/>
              </w:rPr>
              <w:t>Platform</w:t>
            </w: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rPr>
              <w:t>Services and Other</w:t>
            </w: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2"/>
                <w:szCs w:val="12"/>
                <w:b w:val="1"/>
                <w:bCs w:val="1"/>
                <w:color w:val="auto"/>
              </w:rPr>
              <w:t>Three Months Ended April 30,</w:t>
            </w:r>
          </w:p>
        </w:tc>
        <w:tc>
          <w:tcPr>
            <w:tcW w:w="240" w:type="dxa"/>
            <w:vAlign w:val="bottom"/>
          </w:tcPr>
          <w:p>
            <w:pPr>
              <w:spacing w:after="0"/>
              <w:rPr>
                <w:sz w:val="17"/>
                <w:szCs w:val="17"/>
                <w:color w:val="auto"/>
              </w:rPr>
            </w:pPr>
          </w:p>
        </w:tc>
        <w:tc>
          <w:tcPr>
            <w:tcW w:w="2360" w:type="dxa"/>
            <w:vAlign w:val="bottom"/>
            <w:gridSpan w:val="10"/>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April 30,</w:t>
            </w:r>
          </w:p>
        </w:tc>
        <w:tc>
          <w:tcPr>
            <w:tcW w:w="140" w:type="dxa"/>
            <w:vAlign w:val="bottom"/>
          </w:tcPr>
          <w:p>
            <w:pPr>
              <w:spacing w:after="0"/>
              <w:rPr>
                <w:sz w:val="17"/>
                <w:szCs w:val="17"/>
                <w:color w:val="auto"/>
              </w:rPr>
            </w:pPr>
          </w:p>
        </w:tc>
        <w:tc>
          <w:tcPr>
            <w:tcW w:w="2100" w:type="dxa"/>
            <w:vAlign w:val="bottom"/>
            <w:gridSpan w:val="7"/>
          </w:tcPr>
          <w:p>
            <w:pPr>
              <w:ind w:left="60"/>
              <w:spacing w:after="0"/>
              <w:rPr>
                <w:sz w:val="20"/>
                <w:szCs w:val="20"/>
                <w:color w:val="auto"/>
              </w:rPr>
            </w:pPr>
            <w:r>
              <w:rPr>
                <w:rFonts w:ascii="Times New Roman" w:cs="Times New Roman" w:eastAsia="Times New Roman" w:hAnsi="Times New Roman"/>
                <w:sz w:val="12"/>
                <w:szCs w:val="12"/>
                <w:b w:val="1"/>
                <w:bCs w:val="1"/>
                <w:color w:val="auto"/>
              </w:rPr>
              <w:t>Three Months Ended April 30,</w:t>
            </w:r>
          </w:p>
        </w:tc>
        <w:tc>
          <w:tcPr>
            <w:tcW w:w="0" w:type="dxa"/>
            <w:vAlign w:val="bottom"/>
          </w:tcPr>
          <w:p>
            <w:pPr>
              <w:spacing w:after="0"/>
              <w:rPr>
                <w:sz w:val="1"/>
                <w:szCs w:val="1"/>
                <w:color w:val="auto"/>
              </w:rPr>
            </w:pPr>
          </w:p>
        </w:tc>
      </w:tr>
      <w:tr>
        <w:trPr>
          <w:trHeight w:val="196"/>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GAAP gross margin</w:t>
            </w:r>
          </w:p>
        </w:tc>
        <w:tc>
          <w:tcPr>
            <w:tcW w:w="3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3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34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gridSpan w:val="3"/>
          </w:tcPr>
          <w:p>
            <w:pPr>
              <w:ind w:left="2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gridSpan w:val="2"/>
          </w:tcPr>
          <w:p>
            <w:pPr>
              <w:jc w:val="right"/>
              <w:ind w:right="46"/>
              <w:spacing w:after="0" w:line="191" w:lineRule="exact"/>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gridSpan w:val="2"/>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w w:val="98"/>
              </w:rPr>
              <w:t>75.9%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53"/>
              <w:spacing w:after="0" w:line="191" w:lineRule="exact"/>
              <w:rPr>
                <w:sz w:val="20"/>
                <w:szCs w:val="20"/>
                <w:color w:val="auto"/>
              </w:rPr>
            </w:pPr>
            <w:r>
              <w:rPr>
                <w:rFonts w:ascii="Times New Roman" w:cs="Times New Roman" w:eastAsia="Times New Roman" w:hAnsi="Times New Roman"/>
                <w:sz w:val="18"/>
                <w:szCs w:val="18"/>
                <w:color w:val="auto"/>
              </w:rPr>
              <w:t>(136.4)%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72.1%</w:t>
            </w:r>
          </w:p>
        </w:tc>
        <w:tc>
          <w:tcPr>
            <w:tcW w:w="200" w:type="dxa"/>
            <w:vAlign w:val="bottom"/>
          </w:tcPr>
          <w:p>
            <w:pPr>
              <w:spacing w:after="0"/>
              <w:rPr>
                <w:sz w:val="16"/>
                <w:szCs w:val="16"/>
                <w:color w:val="auto"/>
              </w:rPr>
            </w:pPr>
          </w:p>
        </w:tc>
        <w:tc>
          <w:tcPr>
            <w:tcW w:w="88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related employer payroll taxes</w:t>
            </w:r>
          </w:p>
        </w:tc>
        <w:tc>
          <w:tcPr>
            <w:tcW w:w="300" w:type="dxa"/>
            <w:vAlign w:val="bottom"/>
          </w:tcPr>
          <w:p>
            <w:pPr>
              <w:spacing w:after="0"/>
              <w:rPr>
                <w:sz w:val="18"/>
                <w:szCs w:val="18"/>
                <w:color w:val="auto"/>
              </w:rPr>
            </w:pPr>
          </w:p>
        </w:tc>
        <w:tc>
          <w:tcPr>
            <w:tcW w:w="62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Amortization of acquired intangible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Pr>
          <w:p>
            <w:pPr>
              <w:spacing w:after="0"/>
              <w:rPr>
                <w:sz w:val="18"/>
                <w:szCs w:val="18"/>
                <w:color w:val="auto"/>
              </w:rPr>
            </w:pPr>
          </w:p>
        </w:tc>
        <w:tc>
          <w:tcPr>
            <w:tcW w:w="62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on operating lease assets</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79.7%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(113.1)%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Totals may not foot due to rounding.</w:t>
      </w:r>
    </w:p>
    <w:p>
      <w:pPr>
        <w:sectPr>
          <w:pgSz w:w="11900" w:h="16838" w:orient="portrait"/>
          <w:cols w:equalWidth="0" w:num="1">
            <w:col w:w="11220"/>
          </w:cols>
          <w:pgMar w:left="320" w:top="1440" w:right="359" w:bottom="1440" w:gutter="0" w:footer="0" w:header="0"/>
        </w:sect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Non-GAAP Sales and Marketing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GAAP sales and marketing expense</w:t>
      </w:r>
    </w:p>
    <w:p>
      <w:pPr>
        <w:spacing w:after="0" w:line="27" w:lineRule="exact"/>
        <w:rPr>
          <w:sz w:val="20"/>
          <w:szCs w:val="20"/>
          <w:color w:val="auto"/>
        </w:rPr>
      </w:pPr>
    </w:p>
    <w:p>
      <w:pPr>
        <w:jc w:val="right"/>
        <w:ind w:right="384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9" w:lineRule="exact"/>
        <w:rPr>
          <w:sz w:val="20"/>
          <w:szCs w:val="20"/>
          <w:color w:val="auto"/>
        </w:rPr>
      </w:pPr>
    </w:p>
    <w:p>
      <w:pPr>
        <w:jc w:val="right"/>
        <w:ind w:right="3760"/>
        <w:spacing w:after="0"/>
        <w:rPr>
          <w:sz w:val="20"/>
          <w:szCs w:val="20"/>
          <w:color w:val="auto"/>
        </w:rPr>
      </w:pPr>
      <w:r>
        <w:rPr>
          <w:rFonts w:ascii="Times New Roman" w:cs="Times New Roman" w:eastAsia="Times New Roman" w:hAnsi="Times New Roman"/>
          <w:sz w:val="18"/>
          <w:szCs w:val="18"/>
          <w:color w:val="auto"/>
        </w:rPr>
        <w:t>and related employer payroll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Loss on operating lease assets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sales and marketing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24688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91"/>
        </w:trPr>
        <w:tc>
          <w:tcPr>
            <w:tcW w:w="420" w:type="dxa"/>
            <w:vAlign w:val="bottom"/>
          </w:tcPr>
          <w:p>
            <w:pPr>
              <w:spacing w:after="0"/>
              <w:rPr>
                <w:sz w:val="16"/>
                <w:szCs w:val="16"/>
                <w:color w:val="auto"/>
              </w:rPr>
            </w:pPr>
          </w:p>
        </w:tc>
        <w:tc>
          <w:tcPr>
            <w:tcW w:w="21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73,072</w:t>
            </w:r>
          </w:p>
        </w:tc>
        <w:tc>
          <w:tcPr>
            <w:tcW w:w="2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69,223</w:t>
            </w:r>
          </w:p>
        </w:tc>
        <w:tc>
          <w:tcPr>
            <w:tcW w:w="60" w:type="dxa"/>
            <w:vAlign w:val="bottom"/>
          </w:tcPr>
          <w:p>
            <w:pPr>
              <w:spacing w:after="0"/>
              <w:rPr>
                <w:sz w:val="20"/>
                <w:szCs w:val="20"/>
                <w:color w:val="auto"/>
              </w:rPr>
            </w:pPr>
          </w:p>
        </w:tc>
      </w:tr>
      <w:tr>
        <w:trPr>
          <w:trHeight w:val="414"/>
        </w:trPr>
        <w:tc>
          <w:tcPr>
            <w:tcW w:w="420" w:type="dxa"/>
            <w:vAlign w:val="bottom"/>
          </w:tcPr>
          <w:p>
            <w:pPr>
              <w:spacing w:after="0"/>
              <w:rPr>
                <w:sz w:val="24"/>
                <w:szCs w:val="24"/>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(6,619)</w:t>
            </w:r>
          </w:p>
        </w:tc>
        <w:tc>
          <w:tcPr>
            <w:tcW w:w="5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(5,568)</w:t>
            </w:r>
          </w:p>
        </w:tc>
      </w:tr>
      <w:tr>
        <w:trPr>
          <w:trHeight w:val="216"/>
        </w:trPr>
        <w:tc>
          <w:tcPr>
            <w:tcW w:w="4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(4,587)</w:t>
            </w:r>
          </w:p>
        </w:tc>
        <w:tc>
          <w:tcPr>
            <w:tcW w:w="5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34"/>
        </w:trPr>
        <w:tc>
          <w:tcPr>
            <w:tcW w:w="42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10"/>
        </w:trPr>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61,866</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56,375</w:t>
            </w:r>
          </w:p>
        </w:tc>
        <w:tc>
          <w:tcPr>
            <w:tcW w:w="60" w:type="dxa"/>
            <w:vAlign w:val="bottom"/>
          </w:tcPr>
          <w:p>
            <w:pPr>
              <w:spacing w:after="0"/>
              <w:rPr>
                <w:sz w:val="18"/>
                <w:szCs w:val="18"/>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720"/>
            <w:col w:w="3980"/>
          </w:cols>
          <w:pgMar w:left="320" w:top="1440" w:right="35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2" w:name="page13"/>
    <w:bookmarkEnd w:id="12"/>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Non-GAAP Research and Development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research and development expense</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and related employer payroll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Loss on operating lease assets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research and development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-883285</wp:posOffset>
            </wp:positionV>
            <wp:extent cx="140589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05890" cy="2400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7620</wp:posOffset>
            </wp:positionV>
            <wp:extent cx="2468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91"/>
        </w:trPr>
        <w:tc>
          <w:tcPr>
            <w:tcW w:w="420" w:type="dxa"/>
            <w:vAlign w:val="bottom"/>
          </w:tcPr>
          <w:p>
            <w:pPr>
              <w:spacing w:after="0"/>
              <w:rPr>
                <w:sz w:val="16"/>
                <w:szCs w:val="16"/>
                <w:color w:val="auto"/>
              </w:rPr>
            </w:pPr>
          </w:p>
        </w:tc>
        <w:tc>
          <w:tcPr>
            <w:tcW w:w="21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88,024</w:t>
            </w:r>
          </w:p>
        </w:tc>
        <w:tc>
          <w:tcPr>
            <w:tcW w:w="2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69,140</w:t>
            </w:r>
          </w:p>
        </w:tc>
        <w:tc>
          <w:tcPr>
            <w:tcW w:w="60" w:type="dxa"/>
            <w:vAlign w:val="bottom"/>
          </w:tcPr>
          <w:p>
            <w:pPr>
              <w:spacing w:after="0"/>
              <w:rPr>
                <w:sz w:val="20"/>
                <w:szCs w:val="20"/>
                <w:color w:val="auto"/>
              </w:rPr>
            </w:pPr>
          </w:p>
        </w:tc>
      </w:tr>
      <w:tr>
        <w:trPr>
          <w:trHeight w:val="414"/>
        </w:trPr>
        <w:tc>
          <w:tcPr>
            <w:tcW w:w="420" w:type="dxa"/>
            <w:vAlign w:val="bottom"/>
          </w:tcPr>
          <w:p>
            <w:pPr>
              <w:spacing w:after="0"/>
              <w:rPr>
                <w:sz w:val="24"/>
                <w:szCs w:val="24"/>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(20,464)</w:t>
            </w:r>
          </w:p>
        </w:tc>
        <w:tc>
          <w:tcPr>
            <w:tcW w:w="5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(12,263)</w:t>
            </w:r>
          </w:p>
        </w:tc>
      </w:tr>
      <w:tr>
        <w:trPr>
          <w:trHeight w:val="234"/>
        </w:trPr>
        <w:tc>
          <w:tcPr>
            <w:tcW w:w="42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(1,679)</w:t>
            </w:r>
          </w:p>
        </w:tc>
      </w:tr>
      <w:tr>
        <w:trPr>
          <w:trHeight w:val="209"/>
        </w:trPr>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67,560</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55,198</w:t>
            </w:r>
          </w:p>
        </w:tc>
        <w:tc>
          <w:tcPr>
            <w:tcW w:w="60" w:type="dxa"/>
            <w:vAlign w:val="bottom"/>
          </w:tcPr>
          <w:p>
            <w:pPr>
              <w:spacing w:after="0"/>
              <w:rPr>
                <w:sz w:val="18"/>
                <w:szCs w:val="18"/>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720"/>
            <w:col w:w="3980"/>
          </w:cols>
          <w:pgMar w:left="320" w:top="1440" w:right="359" w:bottom="1440" w:gutter="0" w:footer="0" w:header="0"/>
        </w:sectPr>
      </w:pP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Non-GAAP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general and administrative expense</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and related employer payroll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Stock-based compensation expense -</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Co-Founders performance based RSUs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Loss on operating lease assets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general and administrative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24688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91"/>
        </w:trPr>
        <w:tc>
          <w:tcPr>
            <w:tcW w:w="420" w:type="dxa"/>
            <w:vAlign w:val="bottom"/>
          </w:tcPr>
          <w:p>
            <w:pPr>
              <w:spacing w:after="0"/>
              <w:rPr>
                <w:sz w:val="16"/>
                <w:szCs w:val="16"/>
                <w:color w:val="auto"/>
              </w:rPr>
            </w:pPr>
          </w:p>
        </w:tc>
        <w:tc>
          <w:tcPr>
            <w:tcW w:w="21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58,457</w:t>
            </w:r>
          </w:p>
        </w:tc>
        <w:tc>
          <w:tcPr>
            <w:tcW w:w="2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59,569</w:t>
            </w:r>
          </w:p>
        </w:tc>
        <w:tc>
          <w:tcPr>
            <w:tcW w:w="6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(13,244)</w:t>
            </w:r>
          </w:p>
        </w:tc>
        <w:tc>
          <w:tcPr>
            <w:tcW w:w="5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(12,647)</w:t>
            </w:r>
          </w:p>
        </w:tc>
      </w:tr>
      <w:tr>
        <w:trPr>
          <w:trHeight w:val="414"/>
        </w:trPr>
        <w:tc>
          <w:tcPr>
            <w:tcW w:w="420" w:type="dxa"/>
            <w:vAlign w:val="bottom"/>
          </w:tcPr>
          <w:p>
            <w:pPr>
              <w:spacing w:after="0"/>
              <w:rPr>
                <w:sz w:val="24"/>
                <w:szCs w:val="24"/>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(13,074)</w:t>
            </w:r>
          </w:p>
        </w:tc>
        <w:tc>
          <w:tcPr>
            <w:tcW w:w="5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(13,071)</w:t>
            </w:r>
          </w:p>
        </w:tc>
      </w:tr>
      <w:tr>
        <w:trPr>
          <w:trHeight w:val="234"/>
        </w:trPr>
        <w:tc>
          <w:tcPr>
            <w:tcW w:w="42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10"/>
        </w:trPr>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60" w:type="dxa"/>
            <w:vAlign w:val="bottom"/>
          </w:tcPr>
          <w:p>
            <w:pPr>
              <w:spacing w:after="0"/>
              <w:rPr>
                <w:sz w:val="18"/>
                <w:szCs w:val="18"/>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720"/>
            <w:col w:w="3980"/>
          </w:cols>
          <w:pgMar w:left="320" w:top="1440" w:right="35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Non-GAAP Income from Operations and Non-GAAP Operating Margin</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loss from operations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Stock-based compensation expense and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related employer payroll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Stock-based compensation expense -</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Co-Founders performance based RSUs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Amortization of acquired intangible assets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Loss on operating lease assets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income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operating margin</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Stock-based compensation expense and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related employer payroll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Stock-based compensation expense -</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Co-Founders performance based RSUs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Amortization of acquired intangible assets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Loss on operating lease assets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operating margin*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Totals may not foot due to rounding.</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7620</wp:posOffset>
            </wp:positionV>
            <wp:extent cx="24688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1"/>
        </w:trPr>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gridSpan w:val="5"/>
          </w:tcPr>
          <w:p>
            <w:pPr>
              <w:jc w:val="right"/>
              <w:ind w:right="9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tcPr>
          <w:p>
            <w:pPr>
              <w:jc w:val="center"/>
              <w:ind w:left="755"/>
              <w:spacing w:after="0"/>
              <w:rPr>
                <w:sz w:val="20"/>
                <w:szCs w:val="20"/>
                <w:color w:val="auto"/>
              </w:rPr>
            </w:pPr>
            <w:r>
              <w:rPr>
                <w:rFonts w:ascii="Times New Roman" w:cs="Times New Roman" w:eastAsia="Times New Roman" w:hAnsi="Times New Roman"/>
                <w:sz w:val="18"/>
                <w:szCs w:val="18"/>
                <w:color w:val="auto"/>
              </w:rPr>
              <w:t>(25,762)</w:t>
            </w:r>
          </w:p>
        </w:tc>
        <w:tc>
          <w:tcPr>
            <w:tcW w:w="14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(49,536)</w:t>
            </w:r>
          </w:p>
        </w:tc>
      </w:tr>
      <w:tr>
        <w:trPr>
          <w:trHeight w:val="432"/>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center"/>
              <w:ind w:left="875"/>
              <w:spacing w:after="0"/>
              <w:rPr>
                <w:sz w:val="20"/>
                <w:szCs w:val="20"/>
                <w:color w:val="auto"/>
              </w:rPr>
            </w:pPr>
            <w:r>
              <w:rPr>
                <w:rFonts w:ascii="Times New Roman" w:cs="Times New Roman" w:eastAsia="Times New Roman" w:hAnsi="Times New Roman"/>
                <w:sz w:val="18"/>
                <w:szCs w:val="18"/>
                <w:color w:val="auto"/>
              </w:rPr>
              <w:t>43,643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33,260</w:t>
            </w:r>
          </w:p>
        </w:tc>
        <w:tc>
          <w:tcPr>
            <w:tcW w:w="80" w:type="dxa"/>
            <w:vAlign w:val="bottom"/>
          </w:tcPr>
          <w:p>
            <w:pPr>
              <w:spacing w:after="0"/>
              <w:rPr>
                <w:sz w:val="24"/>
                <w:szCs w:val="24"/>
                <w:color w:val="auto"/>
              </w:rPr>
            </w:pPr>
          </w:p>
        </w:tc>
      </w:tr>
      <w:tr>
        <w:trPr>
          <w:trHeight w:val="414"/>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center"/>
              <w:ind w:left="875"/>
              <w:spacing w:after="0"/>
              <w:rPr>
                <w:sz w:val="20"/>
                <w:szCs w:val="20"/>
                <w:color w:val="auto"/>
              </w:rPr>
            </w:pPr>
            <w:r>
              <w:rPr>
                <w:rFonts w:ascii="Times New Roman" w:cs="Times New Roman" w:eastAsia="Times New Roman" w:hAnsi="Times New Roman"/>
                <w:sz w:val="18"/>
                <w:szCs w:val="18"/>
                <w:color w:val="auto"/>
              </w:rPr>
              <w:t>13,074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13,071</w:t>
            </w:r>
          </w:p>
        </w:tc>
        <w:tc>
          <w:tcPr>
            <w:tcW w:w="8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11,382</w:t>
            </w:r>
          </w:p>
        </w:tc>
        <w:tc>
          <w:tcPr>
            <w:tcW w:w="8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8,032</w:t>
            </w:r>
          </w:p>
        </w:tc>
        <w:tc>
          <w:tcPr>
            <w:tcW w:w="80" w:type="dxa"/>
            <w:vAlign w:val="bottom"/>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gridSpan w:val="2"/>
          </w:tcPr>
          <w:p>
            <w:pPr>
              <w:jc w:val="center"/>
              <w:ind w:left="875"/>
              <w:spacing w:after="0"/>
              <w:rPr>
                <w:sz w:val="20"/>
                <w:szCs w:val="20"/>
                <w:color w:val="auto"/>
              </w:rPr>
            </w:pPr>
            <w:r>
              <w:rPr>
                <w:rFonts w:ascii="Times New Roman" w:cs="Times New Roman" w:eastAsia="Times New Roman" w:hAnsi="Times New Roman"/>
                <w:sz w:val="18"/>
                <w:szCs w:val="18"/>
                <w:color w:val="auto"/>
              </w:rPr>
              <w:t>40,809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16,209</w:t>
            </w:r>
          </w:p>
        </w:tc>
        <w:tc>
          <w:tcPr>
            <w:tcW w:w="8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15"/>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gridSpan w:val="8"/>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96"/>
        </w:trPr>
        <w:tc>
          <w:tcPr>
            <w:tcW w:w="2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8"/>
        </w:trPr>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center"/>
              <w:ind w:left="875"/>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414"/>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r>
      <w:tr>
        <w:trPr>
          <w:trHeight w:val="414"/>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center"/>
              <w:ind w:left="875"/>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left="875"/>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center"/>
              <w:ind w:left="875"/>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96" w:lineRule="exact"/>
        <w:rPr>
          <w:sz w:val="20"/>
          <w:szCs w:val="20"/>
          <w:color w:val="auto"/>
        </w:rPr>
      </w:pPr>
    </w:p>
    <w:p>
      <w:pPr>
        <w:sectPr>
          <w:pgSz w:w="11900" w:h="16838" w:orient="portrait"/>
          <w:cols w:equalWidth="0" w:num="2">
            <w:col w:w="6300" w:space="720"/>
            <w:col w:w="4200"/>
          </w:cols>
          <w:pgMar w:left="320" w:top="1440" w:right="359" w:bottom="1440" w:gutter="0" w:footer="0" w:header="0"/>
          <w:type w:val="continuous"/>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3" w:name="page14"/>
    <w:bookmarkEnd w:id="13"/>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5934710</wp:posOffset>
            </wp:positionH>
            <wp:positionV relativeFrom="page">
              <wp:posOffset>637540</wp:posOffset>
            </wp:positionV>
            <wp:extent cx="140589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Net Income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324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7240" w:type="dxa"/>
            <w:vAlign w:val="bottom"/>
          </w:tcPr>
          <w:p>
            <w:pPr>
              <w:spacing w:after="0"/>
              <w:rPr>
                <w:sz w:val="17"/>
                <w:szCs w:val="17"/>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1"/>
        </w:trPr>
        <w:tc>
          <w:tcPr>
            <w:tcW w:w="7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100" w:type="dxa"/>
            <w:vAlign w:val="bottom"/>
            <w:gridSpan w:val="3"/>
          </w:tcPr>
          <w:p>
            <w:pPr>
              <w:jc w:val="right"/>
              <w:ind w:right="79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(22,818)</w:t>
            </w: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(46,364)</w:t>
            </w: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 and</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related employer payroll taxes</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43,643</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33,260</w:t>
            </w:r>
          </w:p>
        </w:tc>
        <w:tc>
          <w:tcPr>
            <w:tcW w:w="60" w:type="dxa"/>
            <w:vAlign w:val="bottom"/>
          </w:tcPr>
          <w:p>
            <w:pPr>
              <w:spacing w:after="0"/>
              <w:rPr>
                <w:sz w:val="18"/>
                <w:szCs w:val="18"/>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 -</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Co-Founders performance based RSUs</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60" w:type="dxa"/>
            <w:vAlign w:val="bottom"/>
          </w:tcPr>
          <w:p>
            <w:pPr>
              <w:spacing w:after="0"/>
              <w:rPr>
                <w:sz w:val="18"/>
                <w:szCs w:val="18"/>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60" w:type="dxa"/>
            <w:vAlign w:val="bottom"/>
          </w:tcPr>
          <w:p>
            <w:pPr>
              <w:spacing w:after="0"/>
              <w:rPr>
                <w:sz w:val="18"/>
                <w:szCs w:val="18"/>
                <w:color w:val="auto"/>
              </w:rPr>
            </w:pPr>
          </w:p>
        </w:tc>
      </w:tr>
      <w:tr>
        <w:trPr>
          <w:trHeight w:val="215"/>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operating lease assets</w:t>
            </w:r>
          </w:p>
        </w:tc>
        <w:tc>
          <w:tcPr>
            <w:tcW w:w="1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60" w:type="dxa"/>
            <w:vAlign w:val="bottom"/>
          </w:tcPr>
          <w:p>
            <w:pPr>
              <w:spacing w:after="0"/>
              <w:rPr>
                <w:sz w:val="18"/>
                <w:szCs w:val="18"/>
                <w:color w:val="auto"/>
              </w:rPr>
            </w:pPr>
          </w:p>
        </w:tc>
      </w:tr>
      <w:tr>
        <w:trPr>
          <w:trHeight w:val="236"/>
        </w:trPr>
        <w:tc>
          <w:tcPr>
            <w:tcW w:w="7240" w:type="dxa"/>
            <w:vAlign w:val="bottom"/>
          </w:tcPr>
          <w:p>
            <w:pPr>
              <w:ind w:left="140"/>
              <w:spacing w:after="0" w:line="236" w:lineRule="exact"/>
              <w:rPr>
                <w:sz w:val="20"/>
                <w:szCs w:val="20"/>
                <w:color w:val="auto"/>
              </w:rPr>
            </w:pPr>
            <w:r>
              <w:rPr>
                <w:rFonts w:ascii="Times New Roman" w:cs="Times New Roman" w:eastAsia="Times New Roman" w:hAnsi="Times New Roman"/>
                <w:sz w:val="17"/>
                <w:szCs w:val="17"/>
                <w:color w:val="auto"/>
              </w:rPr>
              <w:t>Income tax effects</w:t>
            </w:r>
            <w:r>
              <w:rPr>
                <w:rFonts w:ascii="Times New Roman" w:cs="Times New Roman" w:eastAsia="Times New Roman" w:hAnsi="Times New Roman"/>
                <w:sz w:val="22"/>
                <w:szCs w:val="22"/>
                <w:color w:val="auto"/>
                <w:vertAlign w:val="superscript"/>
              </w:rPr>
              <w:t>(4)</w:t>
            </w:r>
          </w:p>
        </w:tc>
        <w:tc>
          <w:tcPr>
            <w:tcW w:w="1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(7,096)</w:t>
            </w:r>
          </w:p>
        </w:tc>
        <w:tc>
          <w:tcPr>
            <w:tcW w:w="1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36,657</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6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222222"/>
        </w:rPr>
        <w:t>Effective February 1, 2026, we adopted a fixed long-term projected non-GAAP tax rate of 18%, which reflects currently available information, as well as other factors and assumptions that may change over time.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EPS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Three Months Ended April 30, 2026</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Three Months Ended April 30, 2025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0" w:type="dxa"/>
            <w:vAlign w:val="bottom"/>
          </w:tcPr>
          <w:p>
            <w:pPr>
              <w:spacing w:after="0"/>
              <w:rPr>
                <w:sz w:val="19"/>
                <w:szCs w:val="19"/>
                <w:color w:val="auto"/>
              </w:rPr>
            </w:pPr>
          </w:p>
        </w:tc>
        <w:tc>
          <w:tcPr>
            <w:tcW w:w="45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0" w:type="dxa"/>
            <w:vAlign w:val="bottom"/>
          </w:tcPr>
          <w:p>
            <w:pPr>
              <w:spacing w:after="0"/>
              <w:rPr>
                <w:sz w:val="1"/>
                <w:szCs w:val="1"/>
                <w:color w:val="auto"/>
              </w:rPr>
            </w:pPr>
          </w:p>
        </w:tc>
      </w:tr>
      <w:tr>
        <w:trPr>
          <w:trHeight w:val="181"/>
        </w:trPr>
        <w:tc>
          <w:tcPr>
            <w:tcW w:w="6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36,657</w:t>
            </w:r>
          </w:p>
        </w:tc>
        <w:tc>
          <w:tcPr>
            <w:tcW w:w="100" w:type="dxa"/>
            <w:vAlign w:val="bottom"/>
          </w:tcPr>
          <w:p>
            <w:pPr>
              <w:spacing w:after="0"/>
              <w:rPr>
                <w:sz w:val="20"/>
                <w:szCs w:val="20"/>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w:t>
            </w: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 basic</w:t>
            </w:r>
          </w:p>
        </w:tc>
        <w:tc>
          <w:tcPr>
            <w:tcW w:w="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95,003,992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90,334,442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dilutive securities: Stock-based awards</w:t>
            </w:r>
          </w:p>
        </w:tc>
        <w:tc>
          <w:tcPr>
            <w:tcW w:w="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4,271,948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7,893,378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5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Weighted-average shares used in computing non-GAAP net income per share</w:t>
            </w: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attributable to common stockholders, diluted</w:t>
            </w:r>
          </w:p>
        </w:tc>
        <w:tc>
          <w:tcPr>
            <w:tcW w:w="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99,275,940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98,227,820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 per share, basic and 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share, 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share, 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20"/>
                <w:szCs w:val="20"/>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GAAP net cash used in operating activities</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Capitalized internal-use software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Deposits for property and equipment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free cash flow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24688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91"/>
        </w:trPr>
        <w:tc>
          <w:tcPr>
            <w:tcW w:w="420" w:type="dxa"/>
            <w:vAlign w:val="bottom"/>
          </w:tcPr>
          <w:p>
            <w:pPr>
              <w:spacing w:after="0"/>
              <w:rPr>
                <w:sz w:val="16"/>
                <w:szCs w:val="16"/>
                <w:color w:val="auto"/>
              </w:rPr>
            </w:pPr>
          </w:p>
        </w:tc>
        <w:tc>
          <w:tcPr>
            <w:tcW w:w="21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(14,570)</w:t>
            </w:r>
          </w:p>
        </w:tc>
      </w:tr>
      <w:tr>
        <w:trPr>
          <w:trHeight w:val="216"/>
        </w:trPr>
        <w:tc>
          <w:tcPr>
            <w:tcW w:w="4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(6,663)</w:t>
            </w:r>
          </w:p>
        </w:tc>
        <w:tc>
          <w:tcPr>
            <w:tcW w:w="5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(6,472)</w:t>
            </w:r>
          </w:p>
        </w:tc>
      </w:tr>
      <w:tr>
        <w:trPr>
          <w:trHeight w:val="216"/>
        </w:trPr>
        <w:tc>
          <w:tcPr>
            <w:tcW w:w="4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5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34"/>
        </w:trPr>
        <w:tc>
          <w:tcPr>
            <w:tcW w:w="42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50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(22,334)</w:t>
            </w:r>
          </w:p>
        </w:tc>
        <w:tc>
          <w:tcPr>
            <w:tcW w:w="60" w:type="dxa"/>
            <w:vAlign w:val="bottom"/>
          </w:tcPr>
          <w:p>
            <w:pPr>
              <w:spacing w:after="0"/>
              <w:rPr>
                <w:sz w:val="18"/>
                <w:szCs w:val="18"/>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720"/>
            <w:col w:w="3960"/>
          </w:cols>
          <w:pgMar w:left="320" w:top="1440" w:right="37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2026-06-04T15:14:51Z</dcterms:created>
  <dcterms:modified xsi:type="dcterms:W3CDTF">2026-06-04T15:14:51Z</dcterms:modified>
</cp:coreProperties>
</file>